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5164A" w14:textId="5E161DC2" w:rsidR="009A4687" w:rsidRDefault="00C14540" w:rsidP="00F33AEF">
      <w:pPr>
        <w:pStyle w:val="Heading1"/>
        <w:spacing w:line="276" w:lineRule="auto"/>
      </w:pPr>
      <w:r>
        <w:t>Introduction</w:t>
      </w:r>
    </w:p>
    <w:p w14:paraId="238CA916" w14:textId="42F33C70" w:rsidR="0026607C" w:rsidRDefault="0026607C" w:rsidP="00F33AEF">
      <w:pPr>
        <w:spacing w:line="276" w:lineRule="auto"/>
      </w:pPr>
    </w:p>
    <w:p w14:paraId="086265C3" w14:textId="2EFDAF42" w:rsidR="0026607C" w:rsidRDefault="00D64805" w:rsidP="00F33AEF">
      <w:pPr>
        <w:spacing w:line="276" w:lineRule="auto"/>
        <w:ind w:firstLine="720"/>
        <w:rPr>
          <w:rFonts w:eastAsiaTheme="minorEastAsia"/>
        </w:rPr>
      </w:pPr>
      <w:r>
        <w:t xml:space="preserve">The experiment for this </w:t>
      </w:r>
      <w:r w:rsidR="0060513B">
        <w:t>final project is the measure of star flux over time for the star KIC 846</w:t>
      </w:r>
      <w:r w:rsidR="00D650AF">
        <w:t>2852 in the Cygnus constellation, located approximately 1480 light years from Earth</w:t>
      </w:r>
      <w:r w:rsidR="00C65AF8">
        <w:t xml:space="preserve">. </w:t>
      </w:r>
      <w:r w:rsidR="0035543E">
        <w:t xml:space="preserve">The project serves as an analysis of this data </w:t>
      </w:r>
      <w:r w:rsidR="0084078A">
        <w:t xml:space="preserve">to find whether the measured flux of this star is significantly increasing or decreasing. </w:t>
      </w:r>
      <w:r w:rsidR="00C65AF8">
        <w:t>Flux</w:t>
      </w:r>
      <w:r w:rsidR="00422401">
        <w:t xml:space="preserve">, in the context of photons, </w:t>
      </w:r>
      <w:r w:rsidR="00C65AF8">
        <w:t xml:space="preserve">is the </w:t>
      </w:r>
      <w:r w:rsidR="00D95E2E">
        <w:t xml:space="preserve">quantitative measure of </w:t>
      </w:r>
      <w:r w:rsidR="005B72AD">
        <w:t xml:space="preserve">the energy that radiates some unit of area per unit of time. The standard unit </w:t>
      </w:r>
      <w:r w:rsidR="002606F1">
        <w:t>of energy flux is Joules per square meter per second (</w:t>
      </w:r>
      <w:r w:rsidR="00DB44D5">
        <w:rPr>
          <w:rFonts w:eastAsiaTheme="minorEastAsia"/>
        </w:rPr>
        <w:t xml:space="preserve"> </w:t>
      </w:r>
      <m:oMath>
        <m:r>
          <m:rPr>
            <m:sty m:val="p"/>
          </m:rPr>
          <w:rPr>
            <w:rFonts w:ascii="Cambria Math" w:hAnsi="Cambria Math"/>
          </w:rPr>
          <m:t>J/</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r>
          <m:rPr>
            <m:sty m:val="p"/>
          </m:rPr>
          <w:rPr>
            <w:rFonts w:ascii="Cambria Math" w:hAnsi="Cambria Math"/>
          </w:rPr>
          <m:t xml:space="preserve">s </m:t>
        </m:r>
      </m:oMath>
      <w:r w:rsidR="00725344">
        <w:rPr>
          <w:rFonts w:eastAsiaTheme="minorEastAsia"/>
        </w:rPr>
        <w:t>).</w:t>
      </w:r>
    </w:p>
    <w:p w14:paraId="553950F7" w14:textId="17AD3700" w:rsidR="009A721B" w:rsidRDefault="009A721B" w:rsidP="00F33AEF">
      <w:pPr>
        <w:spacing w:line="276" w:lineRule="auto"/>
        <w:ind w:firstLine="720"/>
        <w:rPr>
          <w:rFonts w:eastAsiaTheme="minorEastAsia"/>
        </w:rPr>
      </w:pPr>
      <w:r>
        <w:rPr>
          <w:rFonts w:eastAsiaTheme="minorEastAsia"/>
        </w:rPr>
        <w:t>Th</w:t>
      </w:r>
      <w:r w:rsidR="00312A7E">
        <w:rPr>
          <w:rFonts w:eastAsiaTheme="minorEastAsia"/>
        </w:rPr>
        <w:t xml:space="preserve">is collection of data from the </w:t>
      </w:r>
      <w:r w:rsidR="00ED1421" w:rsidRPr="00ED1421">
        <w:rPr>
          <w:rFonts w:eastAsiaTheme="minorEastAsia"/>
        </w:rPr>
        <w:t>Mikulski Archive for Space Telescopes (MAST)</w:t>
      </w:r>
      <w:r w:rsidR="00081AED">
        <w:rPr>
          <w:rFonts w:eastAsiaTheme="minorEastAsia"/>
        </w:rPr>
        <w:t xml:space="preserve"> was created with 53 full-frame images (FFI) </w:t>
      </w:r>
      <w:r w:rsidR="003F0A67">
        <w:rPr>
          <w:rFonts w:eastAsiaTheme="minorEastAsia"/>
        </w:rPr>
        <w:t xml:space="preserve">from different space telescopes. Using the images, the normalized flux of </w:t>
      </w:r>
      <w:r w:rsidR="00E67E1C">
        <w:rPr>
          <w:rFonts w:eastAsiaTheme="minorEastAsia"/>
        </w:rPr>
        <w:t xml:space="preserve">KIC 8462852 </w:t>
      </w:r>
      <w:r w:rsidR="007540F7">
        <w:rPr>
          <w:rFonts w:eastAsiaTheme="minorEastAsia"/>
        </w:rPr>
        <w:t>was calculated for each image and reported to the dataset.</w:t>
      </w:r>
      <w:r w:rsidR="00592493">
        <w:rPr>
          <w:rFonts w:eastAsiaTheme="minorEastAsia"/>
        </w:rPr>
        <w:t xml:space="preserve"> Each calculation is tagged with a Barycentric Julian Date (BJD) time </w:t>
      </w:r>
      <w:r w:rsidR="002929D8">
        <w:rPr>
          <w:rFonts w:eastAsiaTheme="minorEastAsia"/>
        </w:rPr>
        <w:t>for reference.</w:t>
      </w:r>
    </w:p>
    <w:p w14:paraId="100C64EF" w14:textId="6E610DFF" w:rsidR="00410245" w:rsidRDefault="004A0866" w:rsidP="00F33AEF">
      <w:pPr>
        <w:spacing w:line="276" w:lineRule="auto"/>
        <w:ind w:firstLine="720"/>
        <w:rPr>
          <w:color w:val="000000"/>
        </w:rPr>
      </w:pPr>
      <w:sdt>
        <w:sdtPr>
          <w:rPr>
            <w:color w:val="000000"/>
          </w:rPr>
          <w:tag w:val="MENDELEY_CITATION_v3_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"/>
          <w:id w:val="778771987"/>
          <w:placeholder>
            <w:docPart w:val="DefaultPlaceholder_-1854013440"/>
          </w:placeholder>
        </w:sdtPr>
        <w:sdtEndPr/>
        <w:sdtContent>
          <w:proofErr w:type="spellStart"/>
          <w:r w:rsidR="00FD07C8" w:rsidRPr="00FD07C8">
            <w:rPr>
              <w:color w:val="000000"/>
            </w:rPr>
            <w:t>Montet</w:t>
          </w:r>
          <w:proofErr w:type="spellEnd"/>
          <w:r w:rsidR="00FD07C8" w:rsidRPr="00FD07C8">
            <w:rPr>
              <w:color w:val="000000"/>
            </w:rPr>
            <w:t xml:space="preserve"> et al. (2017)</w:t>
          </w:r>
        </w:sdtContent>
      </w:sdt>
      <w:r w:rsidR="00FD07C8">
        <w:rPr>
          <w:color w:val="000000"/>
        </w:rPr>
        <w:t xml:space="preserve"> </w:t>
      </w:r>
      <w:r w:rsidR="00BD2E35">
        <w:rPr>
          <w:color w:val="000000"/>
        </w:rPr>
        <w:t xml:space="preserve">thoroughly explains the process that the space telescope </w:t>
      </w:r>
      <w:r w:rsidR="00BD2E35" w:rsidRPr="00BD2E35">
        <w:rPr>
          <w:i/>
          <w:iCs/>
          <w:color w:val="000000"/>
        </w:rPr>
        <w:t>Kepler</w:t>
      </w:r>
      <w:r w:rsidR="00BD2E35">
        <w:rPr>
          <w:color w:val="000000"/>
        </w:rPr>
        <w:t xml:space="preserve"> underwent to </w:t>
      </w:r>
      <w:r w:rsidR="009A721B">
        <w:rPr>
          <w:color w:val="000000"/>
        </w:rPr>
        <w:t>capture</w:t>
      </w:r>
      <w:r w:rsidR="00AA347C">
        <w:rPr>
          <w:color w:val="000000"/>
        </w:rPr>
        <w:t xml:space="preserve"> its own FFIs. Though the dataset being analyzed for this project uses data from </w:t>
      </w:r>
      <w:r w:rsidR="00ED1421">
        <w:rPr>
          <w:color w:val="000000"/>
        </w:rPr>
        <w:t>various</w:t>
      </w:r>
      <w:r w:rsidR="00AA347C">
        <w:rPr>
          <w:color w:val="000000"/>
        </w:rPr>
        <w:t xml:space="preserve"> telescope</w:t>
      </w:r>
      <w:r w:rsidR="00ED1421">
        <w:rPr>
          <w:color w:val="000000"/>
        </w:rPr>
        <w:t>s</w:t>
      </w:r>
      <w:r w:rsidR="00AA347C">
        <w:rPr>
          <w:color w:val="000000"/>
        </w:rPr>
        <w:t>, the same reasoning applies.</w:t>
      </w:r>
    </w:p>
    <w:p w14:paraId="1C62E6DA" w14:textId="6F43E48F" w:rsidR="00EA6DAE" w:rsidRPr="0026607C" w:rsidRDefault="00EA6DAE" w:rsidP="00F33AEF">
      <w:pPr>
        <w:spacing w:line="276" w:lineRule="auto"/>
        <w:ind w:firstLine="720"/>
      </w:pPr>
      <w:r>
        <w:rPr>
          <w:color w:val="000000"/>
        </w:rPr>
        <w:t xml:space="preserve">This project will </w:t>
      </w:r>
      <w:r w:rsidR="005F2463">
        <w:rPr>
          <w:color w:val="000000"/>
        </w:rPr>
        <w:t xml:space="preserve">statistically determine </w:t>
      </w:r>
      <w:r w:rsidR="00116AB0">
        <w:rPr>
          <w:color w:val="000000"/>
        </w:rPr>
        <w:t>whether the flux data is significantly different throughout the dataset</w:t>
      </w:r>
      <w:r w:rsidR="00B703D0">
        <w:rPr>
          <w:color w:val="000000"/>
        </w:rPr>
        <w:t xml:space="preserve">. </w:t>
      </w:r>
      <w:r w:rsidR="005A1BA3">
        <w:rPr>
          <w:color w:val="000000"/>
        </w:rPr>
        <w:t>Visual analysis shows</w:t>
      </w:r>
      <w:r w:rsidR="00B703D0">
        <w:rPr>
          <w:color w:val="000000"/>
        </w:rPr>
        <w:t xml:space="preserve"> a clear decrease in flux over </w:t>
      </w:r>
      <w:r w:rsidR="005A1BA3">
        <w:rPr>
          <w:color w:val="000000"/>
        </w:rPr>
        <w:t>time;</w:t>
      </w:r>
      <w:r w:rsidR="00B703D0">
        <w:rPr>
          <w:color w:val="000000"/>
        </w:rPr>
        <w:t xml:space="preserve"> however, </w:t>
      </w:r>
      <w:r w:rsidR="00CC2839">
        <w:rPr>
          <w:color w:val="000000"/>
        </w:rPr>
        <w:t xml:space="preserve">one must determine whether this decrease is a statistically significant decrease when considering other factors such as the uncertainty in each flux calculation. Therefore, I propose the null hypothesis that </w:t>
      </w:r>
      <w:r w:rsidR="00D17E86">
        <w:rPr>
          <w:color w:val="000000"/>
        </w:rPr>
        <w:t xml:space="preserve">the </w:t>
      </w:r>
      <w:r w:rsidR="00C80C0D">
        <w:rPr>
          <w:color w:val="000000"/>
        </w:rPr>
        <w:t xml:space="preserve">flux of star KIC 8462852 </w:t>
      </w:r>
      <w:r w:rsidR="00F32A7C" w:rsidRPr="00EF22EB">
        <w:rPr>
          <w:i/>
          <w:iCs/>
          <w:color w:val="000000"/>
        </w:rPr>
        <w:t>does not</w:t>
      </w:r>
      <w:r w:rsidR="00F32A7C">
        <w:rPr>
          <w:color w:val="000000"/>
        </w:rPr>
        <w:t xml:space="preserve"> significantly change over time. The </w:t>
      </w:r>
      <w:r w:rsidR="00900FA1">
        <w:rPr>
          <w:color w:val="000000"/>
        </w:rPr>
        <w:t xml:space="preserve">hypothesis to pair with this is </w:t>
      </w:r>
      <w:r w:rsidR="00DC5CEC">
        <w:rPr>
          <w:color w:val="000000"/>
        </w:rPr>
        <w:t xml:space="preserve">that the </w:t>
      </w:r>
      <w:r w:rsidR="00EF22EB">
        <w:rPr>
          <w:color w:val="000000"/>
        </w:rPr>
        <w:t xml:space="preserve">flux of star KIC 8462852 </w:t>
      </w:r>
      <w:r w:rsidR="00EF22EB" w:rsidRPr="00EF22EB">
        <w:rPr>
          <w:i/>
          <w:iCs/>
          <w:color w:val="000000"/>
        </w:rPr>
        <w:t>does</w:t>
      </w:r>
      <w:r w:rsidR="00EF22EB">
        <w:rPr>
          <w:color w:val="000000"/>
        </w:rPr>
        <w:t xml:space="preserve"> significantly change over time.</w:t>
      </w:r>
    </w:p>
    <w:p w14:paraId="24496CCD" w14:textId="46495EB2" w:rsidR="00C14540" w:rsidRPr="008C5FAB" w:rsidRDefault="009A4687" w:rsidP="00F33AEF">
      <w:pPr>
        <w:spacing w:line="276" w:lineRule="auto"/>
        <w:rPr>
          <w:rFonts w:eastAsiaTheme="majorEastAsia" w:cstheme="majorBidi"/>
          <w:b/>
          <w:szCs w:val="32"/>
        </w:rPr>
      </w:pPr>
      <w:r>
        <w:br w:type="page"/>
      </w:r>
    </w:p>
    <w:p w14:paraId="339F56EA" w14:textId="44709952" w:rsidR="009A4687" w:rsidRDefault="00C14540" w:rsidP="00F33AEF">
      <w:pPr>
        <w:pStyle w:val="Heading1"/>
        <w:spacing w:line="276" w:lineRule="auto"/>
      </w:pPr>
      <w:r>
        <w:lastRenderedPageBreak/>
        <w:t>Results</w:t>
      </w:r>
    </w:p>
    <w:p w14:paraId="08942F8C" w14:textId="51D13C2B" w:rsidR="00C14540" w:rsidRPr="009A4687" w:rsidRDefault="009A4687" w:rsidP="00F33AEF">
      <w:pPr>
        <w:spacing w:line="276" w:lineRule="auto"/>
        <w:rPr>
          <w:rFonts w:eastAsiaTheme="majorEastAsia" w:cstheme="majorBidi"/>
          <w:b/>
          <w:szCs w:val="32"/>
        </w:rPr>
      </w:pPr>
      <w:r>
        <w:br w:type="page"/>
      </w:r>
    </w:p>
    <w:p w14:paraId="2ACB4B31" w14:textId="7C0DF2D6" w:rsidR="009A4687" w:rsidRDefault="00C14540" w:rsidP="00F33AEF">
      <w:pPr>
        <w:pStyle w:val="Heading1"/>
        <w:spacing w:line="276" w:lineRule="auto"/>
      </w:pPr>
      <w:r>
        <w:lastRenderedPageBreak/>
        <w:t>Analysis</w:t>
      </w:r>
    </w:p>
    <w:p w14:paraId="3E2A01F0" w14:textId="77777777" w:rsidR="009A4687" w:rsidRDefault="009A4687" w:rsidP="00F33AEF">
      <w:pPr>
        <w:spacing w:line="276" w:lineRule="auto"/>
        <w:rPr>
          <w:rFonts w:eastAsiaTheme="majorEastAsia" w:cstheme="majorBidi"/>
          <w:b/>
          <w:szCs w:val="32"/>
        </w:rPr>
      </w:pPr>
      <w:r>
        <w:br w:type="page"/>
      </w:r>
    </w:p>
    <w:p w14:paraId="29EB94D8" w14:textId="39A24497" w:rsidR="009A4687" w:rsidRDefault="009A4687" w:rsidP="00F33AEF">
      <w:pPr>
        <w:pStyle w:val="Heading1"/>
        <w:spacing w:line="276" w:lineRule="auto"/>
      </w:pPr>
      <w:r>
        <w:lastRenderedPageBreak/>
        <w:t>Discussion</w:t>
      </w:r>
    </w:p>
    <w:p w14:paraId="212E2A0D" w14:textId="74DB3D05" w:rsidR="00226F0A" w:rsidRPr="004D0A12" w:rsidRDefault="00226F0A" w:rsidP="004D0A12">
      <w:pPr>
        <w:spacing w:line="276" w:lineRule="auto"/>
        <w:rPr>
          <w:rFonts w:cs="Times New Roman"/>
          <w:szCs w:val="24"/>
        </w:rPr>
      </w:pPr>
    </w:p>
    <w:p w14:paraId="651A76DD" w14:textId="77777777" w:rsidR="004D0A12" w:rsidRPr="004D0A12" w:rsidRDefault="004D0A12" w:rsidP="004D0A12">
      <w:pPr>
        <w:pStyle w:val="NormalWeb"/>
        <w:shd w:val="clear" w:color="auto" w:fill="FFFFFF"/>
        <w:spacing w:before="0" w:beforeAutospacing="0" w:after="0" w:afterAutospacing="0" w:line="276" w:lineRule="auto"/>
        <w:rPr>
          <w:color w:val="000000"/>
        </w:rPr>
      </w:pPr>
      <w:r w:rsidRPr="004D0A12">
        <w:rPr>
          <w:color w:val="000000"/>
        </w:rPr>
        <w:t>Based on the various statistical analyses conducted, there are various suggested conclusions that we can draw. The model fitting exercise gave us insight into where the data is trending towards and whether the star may be continuously decreasing in flux for a significant time after the end of the dataset. Lower degree fits, especially degrees 2 and 3, put the data on an exponential-like downtrend. It’s also worth noting that taking the log of the flux values to create a semi-log plot made no difference in the best-fit line relative to the data. It also did not affect the </w:t>
      </w:r>
      <w:r w:rsidRPr="004D0A12">
        <w:rPr>
          <w:rStyle w:val="mi"/>
          <w:rFonts w:ascii="Cambria Math" w:hAnsi="Cambria Math" w:cs="Cambria Math"/>
          <w:color w:val="000000"/>
          <w:bdr w:val="none" w:sz="0" w:space="0" w:color="auto" w:frame="1"/>
        </w:rPr>
        <w:t>𝑅</w:t>
      </w:r>
      <w:r w:rsidRPr="004D0A12">
        <w:rPr>
          <w:rStyle w:val="mn"/>
          <w:color w:val="000000"/>
          <w:bdr w:val="none" w:sz="0" w:space="0" w:color="auto" w:frame="1"/>
        </w:rPr>
        <w:t>2</w:t>
      </w:r>
      <w:r w:rsidRPr="004D0A12">
        <w:rPr>
          <w:rStyle w:val="mjxassistivemathml"/>
          <w:color w:val="000000"/>
          <w:bdr w:val="none" w:sz="0" w:space="0" w:color="auto" w:frame="1"/>
        </w:rPr>
        <w:t>R2</w:t>
      </w:r>
      <w:r w:rsidRPr="004D0A12">
        <w:rPr>
          <w:color w:val="000000"/>
        </w:rPr>
        <w:t> score at all, suggesting that the data is not actually exponential in nature. The chosen </w:t>
      </w:r>
      <w:r w:rsidRPr="004D0A12">
        <w:rPr>
          <w:rStyle w:val="mi"/>
          <w:rFonts w:ascii="Cambria Math" w:hAnsi="Cambria Math" w:cs="Cambria Math"/>
          <w:color w:val="000000"/>
          <w:bdr w:val="none" w:sz="0" w:space="0" w:color="auto" w:frame="1"/>
        </w:rPr>
        <w:t>𝑅</w:t>
      </w:r>
      <w:r w:rsidRPr="004D0A12">
        <w:rPr>
          <w:rStyle w:val="mn"/>
          <w:color w:val="000000"/>
          <w:bdr w:val="none" w:sz="0" w:space="0" w:color="auto" w:frame="1"/>
        </w:rPr>
        <w:t>2</w:t>
      </w:r>
      <w:r w:rsidRPr="004D0A12">
        <w:rPr>
          <w:rStyle w:val="mjxassistivemathml"/>
          <w:color w:val="000000"/>
          <w:bdr w:val="none" w:sz="0" w:space="0" w:color="auto" w:frame="1"/>
        </w:rPr>
        <w:t>R2</w:t>
      </w:r>
      <w:r w:rsidRPr="004D0A12">
        <w:rPr>
          <w:color w:val="000000"/>
        </w:rPr>
        <w:t> score threshold was 0.95. This wasn’t achieved until an 8th degree polynomial. However, such a large degree makes predictions about the behavior of the data difficult without running actual calculations and creating further plots. When fitting models, we tend to prefer lower-degree fits since these simplify complex observations in nature. Despite this, the high degree models to seem to show that the data will trend back upwards, which may support the null hypothesis that the data is not significantly changing.</w:t>
      </w:r>
    </w:p>
    <w:p w14:paraId="434EF239"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It's always good to calculate the moments of a distribution since it allows us to make assumptions about the data’s behavior and trends. No matter whether the data is normally distributed or not, there are conclusions that one can draw based on the variance, skew, and kurtosis of the data. Though the normal test ruled out a normal distribution, we assume a normal distribution when calculating the moments of the distribution.</w:t>
      </w:r>
    </w:p>
    <w:p w14:paraId="46AF4ACD"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As one may observe, the variance of the data seems to be extremely tiny. This is due to analyzing a dataset that only has a range of about 0.035 from its highest and lowest value. Thus, the standard deviation is about 33% of the range of the entire dataset. This implies that the data is spread far apart in the dataset, which is possible considering that much of the data is concentrated at the upper and lower bounds of the dataset. This may indicate that the data is statistically different from each other within the dataset, but this will be better discussed when discussing more reliable tests. The skew of the data is negative, which means that the data is concentrated more to the right half of the graph and tails off towards the left. The magnitude of the skew is between 0.5 and 1, which means that the skew is moderate and can be easily seen visually on the data histogram. Considering the kurtosis of the graph at 2.39, we have a kurtosis less than that of a normal distribution. The “peak” of the distribution is thus Platykurtic with a very domed peak. The tails also tend to be “taller” than that of a normal distribution.</w:t>
      </w:r>
    </w:p>
    <w:p w14:paraId="4DD568FF"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Overall, we can confidently support that out data is not normally distributed. However, we conducted a normal test to be sure whether we should use parametric or non-parametric hypothesis test.</w:t>
      </w:r>
    </w:p>
    <w:p w14:paraId="0F29E644"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 xml:space="preserve">The normal test was necessary to distinguish whether the sample data set could be modeled to a larger, normally distributed population. The normal test concluded with approximately 99% </w:t>
      </w:r>
      <w:r w:rsidRPr="004D0A12">
        <w:rPr>
          <w:color w:val="000000"/>
        </w:rPr>
        <w:lastRenderedPageBreak/>
        <w:t>confidence that our data is not normal. This guided which tests we would be able to perform on this data later in the project.</w:t>
      </w:r>
    </w:p>
    <w:p w14:paraId="55737A32"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Since the primary objective of this project is to determine whether the data is significantly changing, we tested it with the Wilcoxon Signed Rank Sum Test using one sample. We have a 69% confidence that the null hypothesis is correct and thus should conclude that the data is likely similar across the dataset. The “dip” in the data may be insignificant and only a minor fluctuation on a small scale.</w:t>
      </w:r>
    </w:p>
    <w:p w14:paraId="4A23B28B" w14:textId="77777777" w:rsidR="004D0A12" w:rsidRP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 xml:space="preserve">To find more support towards one of our hypotheses, the critical value/p-value tests compared data at both ends of the dataset to the average relative flux of about 0.98. Since the variance and standard deviation of the sample were quite small, this led to small differences in data values to have high z-scores. The extremes of the data fell at anywhere from 6σ to 12σ. This test leads to the conclusion that the data are significantly different across the dataset. This conflicts with the Wilcoxon test, but the null hypothesis shouldn't suddenly be rejected based on this test. It wouldn't be good to reject the null and risk a false positive when other tests suggest that the null may be true. Note that this test only compares single points and does not put </w:t>
      </w:r>
      <w:proofErr w:type="gramStart"/>
      <w:r w:rsidRPr="004D0A12">
        <w:rPr>
          <w:color w:val="000000"/>
        </w:rPr>
        <w:t>all of</w:t>
      </w:r>
      <w:proofErr w:type="gramEnd"/>
      <w:r w:rsidRPr="004D0A12">
        <w:rPr>
          <w:color w:val="000000"/>
        </w:rPr>
        <w:t xml:space="preserve"> the data in context. Thus, more testing is necessary before making a conclusion.</w:t>
      </w:r>
    </w:p>
    <w:p w14:paraId="56856B4A" w14:textId="107E0867" w:rsidR="004D0A12" w:rsidRDefault="004D0A12" w:rsidP="004D0A12">
      <w:pPr>
        <w:pStyle w:val="NormalWeb"/>
        <w:shd w:val="clear" w:color="auto" w:fill="FFFFFF"/>
        <w:spacing w:before="240" w:beforeAutospacing="0" w:after="0" w:afterAutospacing="0" w:line="276" w:lineRule="auto"/>
        <w:rPr>
          <w:color w:val="000000"/>
        </w:rPr>
      </w:pPr>
      <w:r w:rsidRPr="004D0A12">
        <w:rPr>
          <w:color w:val="000000"/>
        </w:rPr>
        <w:t>This led to a third comparison test in which many combinations of the data, separated by orientation, were directly compared to each other using the Mann-Whitney test. The tests concluded that there were generally no differences between the subsets of data. One test did return a 95.2% confidence in rejecting the null hypothesis; however, we cannot ignore that other combinations of data were nowhere close to this confidence level. Therefore, these Mann-Whitney tests lead to further support the acceptance of the null hypothesis that the data is likely statistically similar.</w:t>
      </w:r>
      <w:r>
        <w:rPr>
          <w:color w:val="000000"/>
        </w:rPr>
        <w:br w:type="page"/>
      </w:r>
    </w:p>
    <w:p w14:paraId="4E151682" w14:textId="5B180AE4" w:rsidR="004D0A12" w:rsidRDefault="004D0A12" w:rsidP="004D0A12">
      <w:pPr>
        <w:pStyle w:val="Heading1"/>
      </w:pPr>
      <w:r>
        <w:lastRenderedPageBreak/>
        <w:t>Conclusion</w:t>
      </w:r>
    </w:p>
    <w:p w14:paraId="4466B979" w14:textId="77777777" w:rsidR="004A0866" w:rsidRPr="004A0866" w:rsidRDefault="004A0866" w:rsidP="004A0866">
      <w:pPr>
        <w:spacing w:line="276" w:lineRule="auto"/>
        <w:rPr>
          <w:rFonts w:cs="Times New Roman"/>
          <w:sz w:val="32"/>
          <w:szCs w:val="28"/>
        </w:rPr>
      </w:pPr>
    </w:p>
    <w:p w14:paraId="5B3C7651" w14:textId="77777777" w:rsidR="004A0866" w:rsidRPr="004A0866" w:rsidRDefault="004A0866" w:rsidP="004A0866">
      <w:pPr>
        <w:pStyle w:val="NormalWeb"/>
        <w:shd w:val="clear" w:color="auto" w:fill="FFFFFF"/>
        <w:spacing w:before="0" w:beforeAutospacing="0" w:after="0" w:afterAutospacing="0" w:line="276" w:lineRule="auto"/>
        <w:rPr>
          <w:color w:val="000000"/>
        </w:rPr>
      </w:pPr>
      <w:r w:rsidRPr="004A0866">
        <w:rPr>
          <w:color w:val="000000"/>
        </w:rPr>
        <w:t>Though our statistical tests may not 100% conclude whether we should accept or reject the null hypothesis that the data in this dataset is similar, the prevailing conclusion is to accept the null hypothesis.</w:t>
      </w:r>
    </w:p>
    <w:p w14:paraId="3993F929" w14:textId="77777777" w:rsidR="004A0866" w:rsidRPr="004A0866" w:rsidRDefault="004A0866" w:rsidP="004A0866">
      <w:pPr>
        <w:pStyle w:val="NormalWeb"/>
        <w:shd w:val="clear" w:color="auto" w:fill="FFFFFF"/>
        <w:spacing w:before="240" w:beforeAutospacing="0" w:after="0" w:afterAutospacing="0" w:line="276" w:lineRule="auto"/>
        <w:rPr>
          <w:color w:val="000000"/>
        </w:rPr>
      </w:pPr>
      <w:r w:rsidRPr="004A0866">
        <w:rPr>
          <w:color w:val="000000"/>
        </w:rPr>
        <w:t xml:space="preserve">It is also generally more dangerous to reject a null hypothesis when it is </w:t>
      </w:r>
      <w:proofErr w:type="gramStart"/>
      <w:r w:rsidRPr="004A0866">
        <w:rPr>
          <w:color w:val="000000"/>
        </w:rPr>
        <w:t>actually true</w:t>
      </w:r>
      <w:proofErr w:type="gramEnd"/>
      <w:r w:rsidRPr="004A0866">
        <w:rPr>
          <w:color w:val="000000"/>
        </w:rPr>
        <w:t xml:space="preserve"> (Type I Error) than to accept it when it is actually false (Type II Error). Therefore, there is not high enough confidence in our calculations to safely reject the null hypothesis when looking at the entire dataset. When conducting the critical values test, points at the extremes of the data may show that those singular data points are much different, but it does not take the entire dataset into consideration. This is a non-parametric dataset with a small variance, so the tests may conclude that the data is less similar than reality.</w:t>
      </w:r>
    </w:p>
    <w:p w14:paraId="7CCA7DC5" w14:textId="77777777" w:rsidR="004A0866" w:rsidRPr="004A0866" w:rsidRDefault="004A0866" w:rsidP="004A0866">
      <w:pPr>
        <w:pStyle w:val="NormalWeb"/>
        <w:shd w:val="clear" w:color="auto" w:fill="FFFFFF"/>
        <w:spacing w:before="240" w:beforeAutospacing="0" w:after="0" w:afterAutospacing="0" w:line="276" w:lineRule="auto"/>
        <w:rPr>
          <w:color w:val="000000"/>
        </w:rPr>
      </w:pPr>
      <w:r w:rsidRPr="004A0866">
        <w:rPr>
          <w:color w:val="000000"/>
        </w:rPr>
        <w:t xml:space="preserve">The other two tests, the Signed Rank </w:t>
      </w:r>
      <w:proofErr w:type="gramStart"/>
      <w:r w:rsidRPr="004A0866">
        <w:rPr>
          <w:color w:val="000000"/>
        </w:rPr>
        <w:t>Sum</w:t>
      </w:r>
      <w:proofErr w:type="gramEnd"/>
      <w:r w:rsidRPr="004A0866">
        <w:rPr>
          <w:color w:val="000000"/>
        </w:rPr>
        <w:t xml:space="preserve"> and Mann-Whitney tests both give more compelling evidence that suggests that the null hypothesis is true. The first of which returns a 69% probability that the null hypothesis is true after comparing each flux value to the relative flux of 1. The Mann-Whitney test further supports this by giving low confidence levels in rejecting the null hypothesis, except for one comparison between two data subsets.</w:t>
      </w:r>
    </w:p>
    <w:p w14:paraId="7F47F3A3" w14:textId="77777777" w:rsidR="004A0866" w:rsidRPr="004A0866" w:rsidRDefault="004A0866" w:rsidP="004A0866">
      <w:pPr>
        <w:pStyle w:val="NormalWeb"/>
        <w:shd w:val="clear" w:color="auto" w:fill="FFFFFF"/>
        <w:spacing w:before="240" w:beforeAutospacing="0" w:after="0" w:afterAutospacing="0" w:line="276" w:lineRule="auto"/>
        <w:rPr>
          <w:color w:val="000000"/>
        </w:rPr>
      </w:pPr>
      <w:r w:rsidRPr="004A0866">
        <w:rPr>
          <w:color w:val="000000"/>
        </w:rPr>
        <w:t xml:space="preserve">Even the fitted </w:t>
      </w:r>
      <w:proofErr w:type="gramStart"/>
      <w:r w:rsidRPr="004A0866">
        <w:rPr>
          <w:color w:val="000000"/>
        </w:rPr>
        <w:t>models</w:t>
      </w:r>
      <w:proofErr w:type="gramEnd"/>
      <w:r w:rsidRPr="004A0866">
        <w:rPr>
          <w:color w:val="000000"/>
        </w:rPr>
        <w:t xml:space="preserve"> trend towards an increase in flux towards the end of the data. This may further support that the data is unchanging and could be proven with more data collection after the ~</w:t>
      </w:r>
      <w:proofErr w:type="gramStart"/>
      <w:r w:rsidRPr="004A0866">
        <w:rPr>
          <w:color w:val="000000"/>
        </w:rPr>
        <w:t>1600 day</w:t>
      </w:r>
      <w:proofErr w:type="gramEnd"/>
      <w:r w:rsidRPr="004A0866">
        <w:rPr>
          <w:color w:val="000000"/>
        </w:rPr>
        <w:t xml:space="preserve"> mark.</w:t>
      </w:r>
    </w:p>
    <w:p w14:paraId="065AA4D6" w14:textId="77777777" w:rsidR="004A0866" w:rsidRPr="004A0866" w:rsidRDefault="004A0866" w:rsidP="004A0866">
      <w:pPr>
        <w:pStyle w:val="NormalWeb"/>
        <w:shd w:val="clear" w:color="auto" w:fill="FFFFFF"/>
        <w:spacing w:before="240" w:beforeAutospacing="0" w:after="0" w:afterAutospacing="0" w:line="276" w:lineRule="auto"/>
        <w:rPr>
          <w:color w:val="000000"/>
        </w:rPr>
      </w:pPr>
      <w:r w:rsidRPr="004A0866">
        <w:rPr>
          <w:color w:val="000000"/>
        </w:rPr>
        <w:t>Overall, the data, though it looks to be almost exponentially trending lower, is not significantly changing. There is high confidence that there is no considerable difference in the data after fitting models and conducting several statistical tests.</w:t>
      </w:r>
    </w:p>
    <w:p w14:paraId="6233302C" w14:textId="2D871C6C" w:rsidR="00880584" w:rsidRPr="004A0866" w:rsidRDefault="00880584" w:rsidP="004A0866">
      <w:pPr>
        <w:spacing w:line="276" w:lineRule="auto"/>
        <w:rPr>
          <w:rFonts w:cs="Times New Roman"/>
          <w:sz w:val="32"/>
          <w:szCs w:val="28"/>
        </w:rPr>
      </w:pPr>
    </w:p>
    <w:sectPr w:rsidR="00880584" w:rsidRPr="004A0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KxMDI3tjSwsDA0NrZU0lEKTi0uzszPAykwrQUAQndZRiwAAAA="/>
  </w:docVars>
  <w:rsids>
    <w:rsidRoot w:val="004B4615"/>
    <w:rsid w:val="00002608"/>
    <w:rsid w:val="000042CC"/>
    <w:rsid w:val="00013FEE"/>
    <w:rsid w:val="00024208"/>
    <w:rsid w:val="000463E9"/>
    <w:rsid w:val="00081AED"/>
    <w:rsid w:val="000E24BD"/>
    <w:rsid w:val="00116AB0"/>
    <w:rsid w:val="00117929"/>
    <w:rsid w:val="0012174A"/>
    <w:rsid w:val="00177A89"/>
    <w:rsid w:val="00177AA1"/>
    <w:rsid w:val="00194967"/>
    <w:rsid w:val="002257A9"/>
    <w:rsid w:val="00226F0A"/>
    <w:rsid w:val="002278F1"/>
    <w:rsid w:val="00231C4D"/>
    <w:rsid w:val="00231E13"/>
    <w:rsid w:val="00233824"/>
    <w:rsid w:val="0025059A"/>
    <w:rsid w:val="0025100A"/>
    <w:rsid w:val="00253DEC"/>
    <w:rsid w:val="002606F1"/>
    <w:rsid w:val="0026607C"/>
    <w:rsid w:val="002929D8"/>
    <w:rsid w:val="002D6AA9"/>
    <w:rsid w:val="002E7ABC"/>
    <w:rsid w:val="003022D1"/>
    <w:rsid w:val="00312A7E"/>
    <w:rsid w:val="00316097"/>
    <w:rsid w:val="00317982"/>
    <w:rsid w:val="00331225"/>
    <w:rsid w:val="00331C31"/>
    <w:rsid w:val="0035543E"/>
    <w:rsid w:val="00382B1F"/>
    <w:rsid w:val="003832B5"/>
    <w:rsid w:val="003A4043"/>
    <w:rsid w:val="003F0A67"/>
    <w:rsid w:val="004051AB"/>
    <w:rsid w:val="00410245"/>
    <w:rsid w:val="00422401"/>
    <w:rsid w:val="004615A5"/>
    <w:rsid w:val="00461B5C"/>
    <w:rsid w:val="004A0866"/>
    <w:rsid w:val="004B4615"/>
    <w:rsid w:val="004D0A12"/>
    <w:rsid w:val="004E3387"/>
    <w:rsid w:val="004F1D57"/>
    <w:rsid w:val="005167DE"/>
    <w:rsid w:val="0052331B"/>
    <w:rsid w:val="005503B9"/>
    <w:rsid w:val="0056320A"/>
    <w:rsid w:val="00573BB6"/>
    <w:rsid w:val="00581646"/>
    <w:rsid w:val="00592493"/>
    <w:rsid w:val="005A1BA3"/>
    <w:rsid w:val="005B72AD"/>
    <w:rsid w:val="005F2463"/>
    <w:rsid w:val="0060513B"/>
    <w:rsid w:val="00645748"/>
    <w:rsid w:val="00654C53"/>
    <w:rsid w:val="006846DB"/>
    <w:rsid w:val="006D0DCF"/>
    <w:rsid w:val="00725344"/>
    <w:rsid w:val="007540F7"/>
    <w:rsid w:val="00776B7C"/>
    <w:rsid w:val="007875BF"/>
    <w:rsid w:val="00794968"/>
    <w:rsid w:val="007A509C"/>
    <w:rsid w:val="007A741A"/>
    <w:rsid w:val="007D6CE2"/>
    <w:rsid w:val="00812B18"/>
    <w:rsid w:val="008344B9"/>
    <w:rsid w:val="0084078A"/>
    <w:rsid w:val="00880584"/>
    <w:rsid w:val="008C5FAB"/>
    <w:rsid w:val="008D5228"/>
    <w:rsid w:val="00900FA1"/>
    <w:rsid w:val="009015AD"/>
    <w:rsid w:val="00922AF5"/>
    <w:rsid w:val="00993022"/>
    <w:rsid w:val="009A4687"/>
    <w:rsid w:val="009A721B"/>
    <w:rsid w:val="009E4483"/>
    <w:rsid w:val="00A06296"/>
    <w:rsid w:val="00A232F7"/>
    <w:rsid w:val="00A8015B"/>
    <w:rsid w:val="00AA00E5"/>
    <w:rsid w:val="00AA1AC1"/>
    <w:rsid w:val="00AA347C"/>
    <w:rsid w:val="00AB6F41"/>
    <w:rsid w:val="00AC3BB4"/>
    <w:rsid w:val="00AF6856"/>
    <w:rsid w:val="00B6750C"/>
    <w:rsid w:val="00B703D0"/>
    <w:rsid w:val="00BA03DD"/>
    <w:rsid w:val="00BC31B8"/>
    <w:rsid w:val="00BD2E35"/>
    <w:rsid w:val="00BF3D33"/>
    <w:rsid w:val="00C14540"/>
    <w:rsid w:val="00C65AF8"/>
    <w:rsid w:val="00C80C0D"/>
    <w:rsid w:val="00CC2839"/>
    <w:rsid w:val="00CD1329"/>
    <w:rsid w:val="00D13810"/>
    <w:rsid w:val="00D17E86"/>
    <w:rsid w:val="00D33103"/>
    <w:rsid w:val="00D40169"/>
    <w:rsid w:val="00D54469"/>
    <w:rsid w:val="00D64805"/>
    <w:rsid w:val="00D650AF"/>
    <w:rsid w:val="00D74526"/>
    <w:rsid w:val="00D7658D"/>
    <w:rsid w:val="00D95E2E"/>
    <w:rsid w:val="00DB44D5"/>
    <w:rsid w:val="00DC5CEC"/>
    <w:rsid w:val="00DE3630"/>
    <w:rsid w:val="00E43C93"/>
    <w:rsid w:val="00E67E1C"/>
    <w:rsid w:val="00E7372F"/>
    <w:rsid w:val="00EA6DAE"/>
    <w:rsid w:val="00ED1421"/>
    <w:rsid w:val="00EF22EB"/>
    <w:rsid w:val="00F32A7C"/>
    <w:rsid w:val="00F33AEF"/>
    <w:rsid w:val="00F34642"/>
    <w:rsid w:val="00F74845"/>
    <w:rsid w:val="00F869C7"/>
    <w:rsid w:val="00F91C93"/>
    <w:rsid w:val="00FD07C8"/>
    <w:rsid w:val="00FF4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2D7B"/>
  <w15:chartTrackingRefBased/>
  <w15:docId w15:val="{A9061F15-B858-4532-8F5B-6F5AD3CC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41A"/>
    <w:pPr>
      <w:keepNext/>
      <w:keepLines/>
      <w:spacing w:before="240" w:after="0"/>
      <w:outlineLvl w:val="0"/>
    </w:pPr>
    <w:rPr>
      <w:rFonts w:eastAsiaTheme="majorEastAsia" w:cstheme="majorBidi"/>
      <w:b/>
      <w:szCs w:val="32"/>
    </w:rPr>
  </w:style>
  <w:style w:type="paragraph" w:styleId="Heading5">
    <w:name w:val="heading 5"/>
    <w:basedOn w:val="Normal"/>
    <w:next w:val="Normal"/>
    <w:link w:val="Heading5Char"/>
    <w:uiPriority w:val="9"/>
    <w:semiHidden/>
    <w:unhideWhenUsed/>
    <w:qFormat/>
    <w:rsid w:val="00AA00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41A"/>
    <w:rPr>
      <w:rFonts w:eastAsiaTheme="majorEastAsia" w:cstheme="majorBidi"/>
      <w:b/>
      <w:szCs w:val="32"/>
    </w:rPr>
  </w:style>
  <w:style w:type="character" w:styleId="PlaceholderText">
    <w:name w:val="Placeholder Text"/>
    <w:basedOn w:val="DefaultParagraphFont"/>
    <w:uiPriority w:val="99"/>
    <w:semiHidden/>
    <w:rsid w:val="00F869C7"/>
    <w:rPr>
      <w:color w:val="808080"/>
    </w:rPr>
  </w:style>
  <w:style w:type="character" w:customStyle="1" w:styleId="Heading5Char">
    <w:name w:val="Heading 5 Char"/>
    <w:basedOn w:val="DefaultParagraphFont"/>
    <w:link w:val="Heading5"/>
    <w:uiPriority w:val="9"/>
    <w:semiHidden/>
    <w:rsid w:val="00AA00E5"/>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D0A12"/>
    <w:pPr>
      <w:spacing w:before="100" w:beforeAutospacing="1" w:after="100" w:afterAutospacing="1" w:line="240" w:lineRule="auto"/>
    </w:pPr>
    <w:rPr>
      <w:rFonts w:eastAsia="Times New Roman" w:cs="Times New Roman"/>
      <w:szCs w:val="24"/>
    </w:rPr>
  </w:style>
  <w:style w:type="character" w:customStyle="1" w:styleId="mi">
    <w:name w:val="mi"/>
    <w:basedOn w:val="DefaultParagraphFont"/>
    <w:rsid w:val="004D0A12"/>
  </w:style>
  <w:style w:type="character" w:customStyle="1" w:styleId="mn">
    <w:name w:val="mn"/>
    <w:basedOn w:val="DefaultParagraphFont"/>
    <w:rsid w:val="004D0A12"/>
  </w:style>
  <w:style w:type="character" w:customStyle="1" w:styleId="mjxassistivemathml">
    <w:name w:val="mjx_assistive_mathml"/>
    <w:basedOn w:val="DefaultParagraphFont"/>
    <w:rsid w:val="004D0A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220219">
      <w:bodyDiv w:val="1"/>
      <w:marLeft w:val="0"/>
      <w:marRight w:val="0"/>
      <w:marTop w:val="0"/>
      <w:marBottom w:val="0"/>
      <w:divBdr>
        <w:top w:val="none" w:sz="0" w:space="0" w:color="auto"/>
        <w:left w:val="none" w:sz="0" w:space="0" w:color="auto"/>
        <w:bottom w:val="none" w:sz="0" w:space="0" w:color="auto"/>
        <w:right w:val="none" w:sz="0" w:space="0" w:color="auto"/>
      </w:divBdr>
    </w:div>
    <w:div w:id="1190487665">
      <w:bodyDiv w:val="1"/>
      <w:marLeft w:val="0"/>
      <w:marRight w:val="0"/>
      <w:marTop w:val="0"/>
      <w:marBottom w:val="0"/>
      <w:divBdr>
        <w:top w:val="none" w:sz="0" w:space="0" w:color="auto"/>
        <w:left w:val="none" w:sz="0" w:space="0" w:color="auto"/>
        <w:bottom w:val="none" w:sz="0" w:space="0" w:color="auto"/>
        <w:right w:val="none" w:sz="0" w:space="0" w:color="auto"/>
      </w:divBdr>
    </w:div>
    <w:div w:id="181413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F14E9C8E-91E0-4B2E-8017-0E469F65C32E}"/>
      </w:docPartPr>
      <w:docPartBody>
        <w:p w:rsidR="00553D14" w:rsidRDefault="00972650">
          <w:r w:rsidRPr="008D11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650"/>
    <w:rsid w:val="002D3C1B"/>
    <w:rsid w:val="00553D14"/>
    <w:rsid w:val="00972650"/>
    <w:rsid w:val="00A67928"/>
    <w:rsid w:val="00AA3FD4"/>
    <w:rsid w:val="00DB1ED8"/>
    <w:rsid w:val="00FA1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265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8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ABD1C4-B20B-45A7-85F2-AF074A7DCEC6}">
  <we:reference id="wa104382081" version="1.35.0.0" store="en-US" storeType="OMEX"/>
  <we:alternateReferences>
    <we:reference id="WA104382081" version="1.35.0.0" store="" storeType="OMEX"/>
  </we:alternateReferences>
  <we:properties>
    <we:property name="MENDELEY_CITATIONS" value="[{&quot;citationID&quot;:&quot;MENDELEY_CITATION_ee0c59ed-d177-4a83-9a9e-023cd8b9d425&quot;,&quot;properties&quot;:{&quot;noteIndex&quot;:0},&quot;isEdited&quot;:false,&quot;manualOverride&quot;:{&quot;isManuallyOverridden&quot;:true,&quot;citeprocText&quot;:&quot;(Montet et al., 2017)&quot;,&quot;manualOverrideText&quot;:&quot;(Montet et al. (2017)&quot;},&quot;citationTag&quot;:&quot;MENDELEY_CITATION_v3_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&quot;,&quot;citationItems&quot;:[{&quot;id&quot;:&quot;03d6ec04-281b-3db6-b132-421331c85bb6&quot;,&quot;itemData&quot;:{&quot;type&quot;:&quot;article-journal&quot;,&quot;id&quot;:&quot;03d6ec04-281b-3db6-b132-421331c85bb6&quot;,&quot;title&quot;:&quot;Long-term Photometric Variability in Kepler Full-frame Images: Magnetic Cycles of Sun–like Stars&quot;,&quot;author&quot;:[{&quot;family&quot;:&quot;Montet&quot;,&quot;given&quot;:&quot;Benjamin T.&quot;,&quot;parse-names&quot;:false,&quot;dropping-particle&quot;:&quot;&quot;,&quot;non-dropping-particle&quot;:&quot;&quot;},{&quot;family&quot;:&quot;Tovar&quot;,&quot;given&quot;:&quot;Guadalupe&quot;,&quot;parse-names&quot;:false,&quot;dropping-particle&quot;:&quot;&quot;,&quot;non-dropping-particle&quot;:&quot;&quot;},{&quot;family&quot;:&quot;Foreman-Mackey&quot;,&quot;given&quot;:&quot;Daniel&quot;,&quot;parse-names&quot;:false,&quot;dropping-particle&quot;:&quot;&quot;,&quot;non-dropping-particle&quot;:&quot;&quot;}],&quot;container-title&quot;:&quot;The Astrophysical Journal&quot;,&quot;accessed&quot;:{&quot;date-parts&quot;:[[2022,3,22]]},&quot;DOI&quot;:&quot;10.3847/1538-4357/AA9E00&quot;,&quot;ISSN&quot;:&quot;0004-637X&quot;,&quot;URL&quot;:&quot;https://iopscience-iop-org.proxy.lib.uwaterloo.ca/article/10.3847/1538-4357/aa9e00&quot;,&quot;issued&quot;:{&quot;date-parts&quot;:[[2017,12,19]]},&quot;page&quot;:&quot;116&quot;,&quot;abstract&quot;:&quot;Photometry from the Kepler mission is optimized to detect small, short duration signals like planet transits at the expense of long-term trends. This long-term variability can be recovered in photometry from the Full Frame Images (FFIs), a set of calibration data collected approximately monthly during the Kepler mission. Here, we present f3, an open-source package to perform photometry on the Kepler FFIs in order to detect changes in the brightness of stars in the Kepler field of view over long time baselines. We apply this package to a sample of 4,000 Sun-like stars with measured rotation periods. We find $\\approx 10\\%$ of these targets have long-term variability in their observed flux. For the majority of targets we identify the luminosity variations are either correlated or anticorrelated with the short-term variability due to starspots on the stellar surface. We find a transition between anticorrelated (starspot-dominated) variability and correlated (facula-dominated) variability between rotation periods of 15 and 25 days, suggesting the transition between the two modes is complete for stars at the age of the Sun. We also identify a sample of stars with apparently complete cycles, as well as a collection of short-period binaries with extreme photometric variation over the Kepler mission.&quot;,&quot;publisher&quot;:&quot;IOP Publishing&quot;,&quot;issue&quot;:&quot;2&quot;,&quot;volume&quot;:&quot;851&quot;,&quot;expandedJournalTitle&quot;:&quot;The Astrophysical Journal&quot;},&quot;isTemporary&quot;:fals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A804-408B-4E38-A3CB-8D5A8BD4D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6</Pages>
  <Words>1282</Words>
  <Characters>7308</Characters>
  <Application>Microsoft Office Word</Application>
  <DocSecurity>0</DocSecurity>
  <Lines>60</Lines>
  <Paragraphs>17</Paragraphs>
  <ScaleCrop>false</ScaleCrop>
  <Company/>
  <LinksUpToDate>false</LinksUpToDate>
  <CharactersWithSpaces>8573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Treco</dc:creator>
  <cp:keywords/>
  <dc:description/>
  <cp:lastModifiedBy>Zach Treco</cp:lastModifiedBy>
  <cp:revision>129</cp:revision>
  <dcterms:created xsi:type="dcterms:W3CDTF">2022-03-23T04:18:00Z</dcterms:created>
  <dcterms:modified xsi:type="dcterms:W3CDTF">2022-04-03T20:48:00Z</dcterms:modified>
</cp:coreProperties>
</file>