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6"/>
        </w:rPr>
        <w:t>NL2SQL: A Transformer-Augmented Rule-Hybrid Architecture</w:t>
        <w:br/>
        <w:t>for Natural Language Querying of Academic Relational Databases</w:t>
      </w:r>
    </w:p>
    <w:p>
      <w:pPr>
        <w:spacing w:before="0" w:after="200"/>
        <w:jc w:val="center"/>
      </w:pPr>
      <w:r>
        <w:rPr>
          <w:rFonts w:ascii="Times New Roman" w:hAnsi="Times New Roman"/>
          <w:b w:val="0"/>
          <w:i/>
          <w:sz w:val="20"/>
        </w:rPr>
        <w:t>CSE472 — Deep Learning for Natural Language Processing | Continuous Assessment</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373"/>
        <w:gridCol w:w="3373"/>
        <w:gridCol w:w="3373"/>
      </w:tblGrid>
      <w:tr>
        <w:tc>
          <w:tcPr>
            <w:tcW w:type="dxa" w:w="3373"/>
          </w:tcPr>
          <w:p>
            <w:pPr>
              <w:spacing w:before="0" w:after="40"/>
              <w:jc w:val="center"/>
            </w:pPr>
            <w:r>
              <w:rPr>
                <w:rFonts w:ascii="Times New Roman" w:hAnsi="Times New Roman"/>
                <w:b/>
                <w:i w:val="0"/>
                <w:sz w:val="20"/>
              </w:rPr>
              <w:t>Ashwin Sathiya</w:t>
            </w:r>
          </w:p>
        </w:tc>
        <w:tc>
          <w:tcPr>
            <w:tcW w:type="dxa" w:w="3373"/>
          </w:tcPr>
          <w:p>
            <w:pPr>
              <w:spacing w:before="0" w:after="40"/>
              <w:jc w:val="center"/>
            </w:pPr>
            <w:r>
              <w:rPr>
                <w:rFonts w:ascii="Times New Roman" w:hAnsi="Times New Roman"/>
                <w:b/>
                <w:i w:val="0"/>
                <w:sz w:val="20"/>
              </w:rPr>
              <w:t>Ipsita Umang</w:t>
            </w:r>
          </w:p>
        </w:tc>
        <w:tc>
          <w:tcPr>
            <w:tcW w:type="dxa" w:w="3373"/>
          </w:tcPr>
          <w:p>
            <w:pPr>
              <w:spacing w:before="0" w:after="40"/>
              <w:jc w:val="center"/>
            </w:pPr>
            <w:r>
              <w:rPr>
                <w:rFonts w:ascii="Times New Roman" w:hAnsi="Times New Roman"/>
                <w:b/>
                <w:i w:val="0"/>
                <w:sz w:val="20"/>
              </w:rPr>
              <w:t>Shrinath</w:t>
            </w:r>
          </w:p>
        </w:tc>
      </w:tr>
      <w:tr>
        <w:tc>
          <w:tcPr>
            <w:tcW w:type="dxa" w:w="3373"/>
          </w:tcPr>
          <w:p>
            <w:pPr>
              <w:spacing w:before="0" w:after="40"/>
              <w:jc w:val="center"/>
            </w:pPr>
            <w:r>
              <w:rPr>
                <w:rFonts w:ascii="Times New Roman" w:hAnsi="Times New Roman"/>
                <w:b w:val="0"/>
                <w:i/>
                <w:sz w:val="18"/>
              </w:rPr>
              <w:t>Dept. of CSE</w:t>
              <w:br/>
              <w:t>Lovely Professional University</w:t>
              <w:br/>
              <w:t>Phagwara, India</w:t>
            </w:r>
          </w:p>
        </w:tc>
        <w:tc>
          <w:tcPr>
            <w:tcW w:type="dxa" w:w="3373"/>
          </w:tcPr>
          <w:p>
            <w:pPr>
              <w:spacing w:before="0" w:after="40"/>
              <w:jc w:val="center"/>
            </w:pPr>
            <w:r>
              <w:rPr>
                <w:rFonts w:ascii="Times New Roman" w:hAnsi="Times New Roman"/>
                <w:b w:val="0"/>
                <w:i/>
                <w:sz w:val="18"/>
              </w:rPr>
              <w:t>Dept. of CSE</w:t>
              <w:br/>
              <w:t>Lovely Professional University</w:t>
              <w:br/>
              <w:t>Phagwara, India</w:t>
            </w:r>
          </w:p>
        </w:tc>
        <w:tc>
          <w:tcPr>
            <w:tcW w:type="dxa" w:w="3373"/>
          </w:tcPr>
          <w:p>
            <w:pPr>
              <w:spacing w:before="0" w:after="40"/>
              <w:jc w:val="center"/>
            </w:pPr>
            <w:r>
              <w:rPr>
                <w:rFonts w:ascii="Times New Roman" w:hAnsi="Times New Roman"/>
                <w:b w:val="0"/>
                <w:i/>
                <w:sz w:val="18"/>
              </w:rPr>
              <w:t>Dept. of CSE</w:t>
              <w:br/>
              <w:t>Lovely Professional University</w:t>
              <w:br/>
              <w:t>Phagwara, India</w:t>
            </w:r>
          </w:p>
        </w:tc>
      </w:tr>
      <w:tr>
        <w:tc>
          <w:tcPr>
            <w:tcW w:type="dxa" w:w="3373"/>
          </w:tcPr>
          <w:p>
            <w:pPr>
              <w:spacing w:before="0" w:after="40"/>
              <w:jc w:val="center"/>
            </w:pPr>
            <w:r>
              <w:rPr>
                <w:rFonts w:ascii="Times New Roman" w:hAnsi="Times New Roman"/>
                <w:b w:val="0"/>
                <w:i w:val="0"/>
                <w:sz w:val="17"/>
              </w:rPr>
              <w:t>Reg: 12308018</w:t>
              <w:br/>
              <w:t>ashwin.sathiyamoorthy.d@gmail.com</w:t>
            </w:r>
          </w:p>
        </w:tc>
        <w:tc>
          <w:tcPr>
            <w:tcW w:type="dxa" w:w="3373"/>
          </w:tcPr>
          <w:p>
            <w:pPr>
              <w:spacing w:before="0" w:after="40"/>
              <w:jc w:val="center"/>
            </w:pPr>
            <w:r>
              <w:rPr>
                <w:rFonts w:ascii="Times New Roman" w:hAnsi="Times New Roman"/>
                <w:b w:val="0"/>
                <w:i w:val="0"/>
                <w:sz w:val="17"/>
              </w:rPr>
              <w:t>Reg: 12309971</w:t>
              <w:br/>
              <w:t>ipsita23umang@gmail.com</w:t>
            </w:r>
          </w:p>
        </w:tc>
        <w:tc>
          <w:tcPr>
            <w:tcW w:type="dxa" w:w="3373"/>
          </w:tcPr>
          <w:p>
            <w:pPr>
              <w:spacing w:before="0" w:after="40"/>
              <w:jc w:val="center"/>
            </w:pPr>
            <w:r>
              <w:rPr>
                <w:rFonts w:ascii="Times New Roman" w:hAnsi="Times New Roman"/>
                <w:b w:val="0"/>
                <w:i w:val="0"/>
                <w:sz w:val="17"/>
              </w:rPr>
              <w:t>Reg: 12323609</w:t>
              <w:br/>
              <w:t>shri02092005@gmail.com</w:t>
            </w:r>
          </w:p>
        </w:tc>
      </w:tr>
      <w:tr>
        <w:tc>
          <w:tcPr>
            <w:tcW w:type="dxa" w:w="3373"/>
          </w:tcPr>
          <w:p/>
        </w:tc>
        <w:tc>
          <w:tcPr>
            <w:tcW w:type="dxa" w:w="3373"/>
          </w:tcPr>
          <w:p/>
        </w:tc>
        <w:tc>
          <w:tcPr>
            <w:tcW w:type="dxa" w:w="3373"/>
          </w:tcPr>
          <w:p/>
        </w:tc>
      </w:tr>
    </w:tbl>
    <w:p>
      <w:pPr>
        <w:spacing w:before="0" w:after="80"/>
        <w:pBdr>
          <w:bottom w:val="single" w:sz="6" w:space="1" w:color="000000"/>
        </w:pBdr>
      </w:pPr>
    </w:p>
    <w:p>
      <w:pPr>
        <w:spacing w:before="40" w:after="80"/>
        <w:jc w:val="both"/>
      </w:pPr>
      <w:r>
        <w:rPr>
          <w:rFonts w:ascii="Times New Roman" w:hAnsi="Times New Roman"/>
          <w:b/>
          <w:i w:val="0"/>
          <w:sz w:val="19"/>
        </w:rPr>
        <w:t>Abstract</w:t>
      </w:r>
      <w:r>
        <w:rPr>
          <w:rFonts w:ascii="Times New Roman" w:hAnsi="Times New Roman"/>
          <w:b w:val="0"/>
          <w:i w:val="0"/>
          <w:sz w:val="19"/>
        </w:rPr>
        <w:t xml:space="preserve"> — Most people who use a university database portal cannot write SQL. That gap — between what someone wants to know and what they can actually query — motivated this project. NL2SQL is a system that takes a plain English question and returns an executed SQL result from an academic relational database, without the user ever seeing a query string. The design deliberately avoids fine-tuned generative models; instead it chains a keyword-based intent classifier with a pre-trained sentence transformer (all-MiniLM-L6-v2) for schema matching, then constructs SQL through a set of intent-conditioned templates. We tested 60 queries across six intent types. End-to-end execution accuracy came out at 88.3%, schema matching hit 93.3%, and average latency on a dual-core CPU was 163 ms. The paper walks through every design decision, what broke, and what we would change if we built it again.</w:t>
      </w:r>
    </w:p>
    <w:p>
      <w:pPr>
        <w:spacing w:before="40" w:after="120"/>
        <w:jc w:val="both"/>
      </w:pPr>
      <w:r>
        <w:rPr>
          <w:rFonts w:ascii="Times New Roman" w:hAnsi="Times New Roman"/>
          <w:b w:val="0"/>
          <w:i/>
          <w:sz w:val="18"/>
        </w:rPr>
        <w:t>Keywords — Natural Language to SQL, Sentence Transformers, Schema Linking, Intent Classification, FastAPI, SQLite, Academic Database Systems</w:t>
      </w:r>
    </w:p>
    <w:p>
      <w:pPr>
        <w:spacing w:before="0" w:after="80"/>
        <w:pBdr>
          <w:bottom w:val="single" w:sz="6" w:space="1" w:color="000000"/>
        </w:pBdr>
      </w:pPr>
    </w:p>
    <w:p>
      <w:pPr>
        <w:spacing w:before="0" w:after="0"/>
        <w:sectPr>
          <w:pgSz w:w="11906" w:h="16838"/>
          <w:pgMar w:top="1080" w:right="893" w:bottom="1440" w:left="893"/>
          <w:cols w:num="1" w:space="720"/>
          <w:type w:val="continuous"/>
        </w:sectPr>
      </w:pPr>
    </w:p>
    <w:p>
      <w:pPr>
        <w:spacing w:before="200" w:after="100"/>
        <w:jc w:val="center"/>
      </w:pPr>
      <w:r>
        <w:rPr>
          <w:rFonts w:ascii="Times New Roman" w:hAnsi="Times New Roman"/>
          <w:b/>
          <w:i w:val="0"/>
          <w:sz w:val="20"/>
        </w:rPr>
        <w:t>I. INTRODUCTION</w:t>
      </w:r>
    </w:p>
    <w:p>
      <w:pPr>
        <w:spacing w:before="0" w:after="100"/>
        <w:jc w:val="both"/>
      </w:pPr>
      <w:r>
        <w:rPr>
          <w:rFonts w:ascii="Times New Roman" w:hAnsi="Times New Roman"/>
          <w:b w:val="0"/>
          <w:i w:val="0"/>
          <w:sz w:val="19"/>
        </w:rPr>
        <w:t>Databases are everywhere in academic institutions — student records, marks, course registrations, attendance. And yet, for the vast majority of people who might benefit from querying them, the data is effectively locked behind SQL. You need SQL. Most people don't have SQL. That's the problem this paper is about.</w:t>
      </w:r>
    </w:p>
    <w:p>
      <w:pPr>
        <w:spacing w:before="0" w:after="100"/>
        <w:jc w:val="both"/>
      </w:pPr>
      <w:r>
        <w:rPr>
          <w:rFonts w:ascii="Times New Roman" w:hAnsi="Times New Roman"/>
          <w:b w:val="0"/>
          <w:i w:val="0"/>
          <w:sz w:val="19"/>
        </w:rPr>
        <w:t>The idea of letting people query databases in natural language is not new. Researchers were working on it in the early 1970s, when relational algebra and computational linguistics were both still finding their feet [1, 2]. LUNAR, built at BBN to answer questions about Apollo moon rock samples, is usually cited as the first practically deployed natural language database interface [2]. It was impressively functional for its time, and impressively brittle — any phrasing the grammar hadn't seen before simply failed.</w:t>
      </w:r>
    </w:p>
    <w:p>
      <w:pPr>
        <w:spacing w:before="0" w:after="100"/>
        <w:jc w:val="both"/>
      </w:pPr>
      <w:r>
        <w:rPr>
          <w:rFonts w:ascii="Times New Roman" w:hAnsi="Times New Roman"/>
          <w:b w:val="0"/>
          <w:i w:val="0"/>
          <w:sz w:val="19"/>
        </w:rPr>
        <w:t>Fast forward to 2018 and BERT changed a lot of things [3]. Pre-trained transformer models could suddenly generalise across linguistic variation in ways that handwritten grammars never could. The Spider benchmark gave the community a common evaluation ground [4], and scores have climbed from mid-50s in 2019 to above 85% by 2023 with GPT-4-based approaches [8]. On paper, the problem is nearly solved.</w:t>
      </w:r>
    </w:p>
    <w:p>
      <w:pPr>
        <w:spacing w:before="0" w:after="100"/>
        <w:jc w:val="both"/>
      </w:pPr>
      <w:r>
        <w:rPr>
          <w:rFonts w:ascii="Times New Roman" w:hAnsi="Times New Roman"/>
          <w:b w:val="0"/>
          <w:i w:val="0"/>
          <w:sz w:val="19"/>
        </w:rPr>
        <w:t>But 'nearly solved on Spider' is not the same as 'solved for a university portal running on a shared server.' The best systems are enormous, slow, and opaque. If a query produces a wrong SQL, there's no easy way to explain why without retraining. For a domain-specific deployment where the schema is small, query types are predictable, and interpretability matters, a lighter approach is worth exploring.</w:t>
      </w:r>
    </w:p>
    <w:p>
      <w:pPr>
        <w:spacing w:before="0" w:after="100"/>
        <w:jc w:val="both"/>
      </w:pPr>
      <w:r>
        <w:rPr>
          <w:rFonts w:ascii="Times New Roman" w:hAnsi="Times New Roman"/>
          <w:b w:val="0"/>
          <w:i w:val="0"/>
          <w:sz w:val="19"/>
        </w:rPr>
        <w:t>That's what we built. NL2SQL handles natural language queries over a three-table academic database using deterministic intent detection, transformer-based semantic schema linking, and template-based SQL generation. No generative model, no beam search, no probabilistic decoding. The tradeoff is obvious — arbitrary SQL is out of scope. But within what academic staff and students actually ask, the system performs well, explains itself, and runs on hardware that's already available.</w:t>
      </w:r>
    </w:p>
    <w:p>
      <w:pPr>
        <w:spacing w:before="200" w:after="100"/>
        <w:jc w:val="center"/>
      </w:pPr>
      <w:r>
        <w:rPr>
          <w:rFonts w:ascii="Times New Roman" w:hAnsi="Times New Roman"/>
          <w:b/>
          <w:i w:val="0"/>
          <w:sz w:val="20"/>
        </w:rPr>
        <w:t>II. RELATED WORK</w:t>
      </w:r>
    </w:p>
    <w:p>
      <w:pPr>
        <w:spacing w:before="140" w:after="60"/>
        <w:jc w:val="left"/>
      </w:pPr>
      <w:r>
        <w:rPr>
          <w:rFonts w:ascii="Times New Roman" w:hAnsi="Times New Roman"/>
          <w:b/>
          <w:i/>
          <w:sz w:val="19"/>
        </w:rPr>
        <w:t>A. Rule-Based Systems</w:t>
      </w:r>
    </w:p>
    <w:p>
      <w:pPr>
        <w:spacing w:before="0" w:after="100"/>
        <w:jc w:val="both"/>
      </w:pPr>
      <w:r>
        <w:rPr>
          <w:rFonts w:ascii="Times New Roman" w:hAnsi="Times New Roman"/>
          <w:b w:val="0"/>
          <w:i w:val="0"/>
          <w:sz w:val="19"/>
        </w:rPr>
        <w:t>The earliest NLIDBs worked by exhaustively enumerating grammar rules mapping sentence patterns to query fragments. LUNAR [2] did this for a narrow geochemical domain and worked well within scope. LADDER [9] and LIFER [10] tried to scale the idea to broader English — impressive demonstrations, almost useless in practice. Any synonym, reordering, or unfamiliar construction broke them. You cannot enumerate human language variation by hand. NaLIR [11] tried dependency parsing for better robustness, but still relied on lexical overlap between query tokens and column names.</w:t>
      </w:r>
    </w:p>
    <w:p>
      <w:pPr>
        <w:spacing w:before="140" w:after="60"/>
        <w:jc w:val="left"/>
      </w:pPr>
      <w:r>
        <w:rPr>
          <w:rFonts w:ascii="Times New Roman" w:hAnsi="Times New Roman"/>
          <w:b/>
          <w:i/>
          <w:sz w:val="19"/>
        </w:rPr>
        <w:t>B. Statistical and Seq2Seq Models</w:t>
      </w:r>
    </w:p>
    <w:p>
      <w:pPr>
        <w:spacing w:before="0" w:after="100"/>
        <w:jc w:val="both"/>
      </w:pPr>
      <w:r>
        <w:rPr>
          <w:rFonts w:ascii="Times New Roman" w:hAnsi="Times New Roman"/>
          <w:b w:val="0"/>
          <w:i w:val="0"/>
          <w:sz w:val="19"/>
        </w:rPr>
        <w:t>Seq2SQL [5] framed text-to-SQL as a generation problem using reinforcement learning on WikiSQL. SQLNet [15] decomposed SQL generation into predicting each clause independently — SELECT column, aggregator, WHERE condition — as separate classification problems. This decomposition is conceptually close to what our template engine does, with learned classifiers replaced by deterministic logic.</w:t>
      </w:r>
    </w:p>
    <w:p>
      <w:pPr>
        <w:spacing w:before="140" w:after="60"/>
        <w:jc w:val="left"/>
      </w:pPr>
      <w:r>
        <w:rPr>
          <w:rFonts w:ascii="Times New Roman" w:hAnsi="Times New Roman"/>
          <w:b/>
          <w:i/>
          <w:sz w:val="19"/>
        </w:rPr>
        <w:t>C. Transformer-Based Systems</w:t>
      </w:r>
    </w:p>
    <w:p>
      <w:pPr>
        <w:spacing w:before="0" w:after="100"/>
        <w:jc w:val="both"/>
      </w:pPr>
      <w:r>
        <w:rPr>
          <w:rFonts w:ascii="Times New Roman" w:hAnsi="Times New Roman"/>
          <w:b w:val="0"/>
          <w:i w:val="0"/>
          <w:sz w:val="19"/>
        </w:rPr>
        <w:t>IRNet [16] introduced an intermediate SQL representation hitting 54.7% exact match on Spider. RATSQL [7] added relation-aware self-attention reaching 69.6%. BRIDGE [6] appended sample database values to the encoder, reaching 71.1%. GPT-4 fine-tuning now exceeds 85% [8] but at inference costs orders of magnitude beyond our target. Hallucinated column names are unacceptable in an academic advisory tool.</w:t>
      </w:r>
    </w:p>
    <w:p>
      <w:pPr>
        <w:spacing w:before="140" w:after="60"/>
        <w:jc w:val="left"/>
      </w:pPr>
      <w:r>
        <w:rPr>
          <w:rFonts w:ascii="Times New Roman" w:hAnsi="Times New Roman"/>
          <w:b/>
          <w:i/>
          <w:sz w:val="19"/>
        </w:rPr>
        <w:t>D. Schema Linking via Dense Embeddings</w:t>
      </w:r>
    </w:p>
    <w:p>
      <w:pPr>
        <w:spacing w:before="0" w:after="100"/>
        <w:jc w:val="both"/>
      </w:pPr>
      <w:r>
        <w:rPr>
          <w:rFonts w:ascii="Times New Roman" w:hAnsi="Times New Roman"/>
          <w:b w:val="0"/>
          <w:i w:val="0"/>
          <w:sz w:val="19"/>
        </w:rPr>
        <w:t>Schema linking has been called the hardest sub-problem in text-to-SQL [19]. Dense retrieval [20] solves this by comparing semantic embeddings rather than surface tokens. Sentence-BERT [17] and its distilled variants like all-MiniLM-L6-v2 [18] produce 384-dimensional representations where cosine similarity captures genuine semantic proximity. We use this for table and column selection — the single component handling linguistic variation the rule layer cannot.</w:t>
      </w:r>
    </w:p>
    <w:p>
      <w:pPr>
        <w:spacing w:before="200" w:after="100"/>
        <w:jc w:val="center"/>
      </w:pPr>
      <w:r>
        <w:rPr>
          <w:rFonts w:ascii="Times New Roman" w:hAnsi="Times New Roman"/>
          <w:b/>
          <w:i w:val="0"/>
          <w:sz w:val="20"/>
        </w:rPr>
        <w:t>III. SYSTEM ARCHITECTURE</w:t>
      </w:r>
    </w:p>
    <w:p>
      <w:pPr>
        <w:spacing w:before="0" w:after="100"/>
        <w:jc w:val="both"/>
      </w:pPr>
      <w:r>
        <w:rPr>
          <w:rFonts w:ascii="Times New Roman" w:hAnsi="Times New Roman"/>
          <w:b w:val="0"/>
          <w:i w:val="0"/>
          <w:sz w:val="19"/>
        </w:rPr>
        <w:t>The pipeline has five independent layers: request handling, NLP preprocessing, schema linking, SQL generation, and query execution. Table I summarises the stack.</w:t>
      </w:r>
    </w:p>
    <w:tbl>
      <w:tblPr>
        <w:tblStyle w:val="TableGrid"/>
        <w:tblW w:type="auto" w:w="0"/>
        <w:tblLook w:firstColumn="1" w:firstRow="1" w:lastColumn="0" w:lastRow="0" w:noHBand="0" w:noVBand="1" w:val="04A0"/>
      </w:tblPr>
      <w:tblGrid>
        <w:gridCol w:w="3373"/>
        <w:gridCol w:w="3373"/>
        <w:gridCol w:w="3373"/>
      </w:tblGrid>
      <w:tr>
        <w:tc>
          <w:tcPr>
            <w:tcW w:type="dxa" w:w="3373"/>
          </w:tcPr>
          <w:p>
            <w:pPr>
              <w:spacing w:before="40" w:after="40"/>
              <w:jc w:val="left"/>
            </w:pPr>
            <w:r>
              <w:rPr>
                <w:rFonts w:ascii="Times New Roman" w:hAnsi="Times New Roman"/>
                <w:b/>
                <w:i w:val="0"/>
                <w:sz w:val="16"/>
              </w:rPr>
              <w:t>Layer</w:t>
            </w:r>
          </w:p>
        </w:tc>
        <w:tc>
          <w:tcPr>
            <w:tcW w:type="dxa" w:w="3373"/>
          </w:tcPr>
          <w:p>
            <w:pPr>
              <w:spacing w:before="40" w:after="40"/>
              <w:jc w:val="center"/>
            </w:pPr>
            <w:r>
              <w:rPr>
                <w:rFonts w:ascii="Times New Roman" w:hAnsi="Times New Roman"/>
                <w:b/>
                <w:i w:val="0"/>
                <w:sz w:val="16"/>
              </w:rPr>
              <w:t>Technology</w:t>
            </w:r>
          </w:p>
        </w:tc>
        <w:tc>
          <w:tcPr>
            <w:tcW w:type="dxa" w:w="3373"/>
          </w:tcPr>
          <w:p>
            <w:pPr>
              <w:spacing w:before="40" w:after="40"/>
              <w:jc w:val="center"/>
            </w:pPr>
            <w:r>
              <w:rPr>
                <w:rFonts w:ascii="Times New Roman" w:hAnsi="Times New Roman"/>
                <w:b/>
                <w:i w:val="0"/>
                <w:sz w:val="16"/>
              </w:rPr>
              <w:t>Output</w:t>
            </w:r>
          </w:p>
        </w:tc>
      </w:tr>
      <w:tr>
        <w:tc>
          <w:tcPr>
            <w:tcW w:type="dxa" w:w="3373"/>
          </w:tcPr>
          <w:p>
            <w:pPr>
              <w:spacing w:before="40" w:after="40"/>
              <w:jc w:val="left"/>
            </w:pPr>
            <w:r>
              <w:rPr>
                <w:rFonts w:ascii="Times New Roman" w:hAnsi="Times New Roman"/>
                <w:b w:val="0"/>
                <w:i w:val="0"/>
                <w:sz w:val="16"/>
              </w:rPr>
              <w:t>REST API</w:t>
            </w:r>
          </w:p>
        </w:tc>
        <w:tc>
          <w:tcPr>
            <w:tcW w:type="dxa" w:w="3373"/>
          </w:tcPr>
          <w:p>
            <w:pPr>
              <w:spacing w:before="40" w:after="40"/>
              <w:jc w:val="center"/>
            </w:pPr>
            <w:r>
              <w:rPr>
                <w:rFonts w:ascii="Times New Roman" w:hAnsi="Times New Roman"/>
                <w:b w:val="0"/>
                <w:i w:val="0"/>
                <w:sz w:val="16"/>
              </w:rPr>
              <w:t>FastAPI + Pydantic</w:t>
            </w:r>
          </w:p>
        </w:tc>
        <w:tc>
          <w:tcPr>
            <w:tcW w:type="dxa" w:w="3373"/>
          </w:tcPr>
          <w:p>
            <w:pPr>
              <w:spacing w:before="40" w:after="40"/>
              <w:jc w:val="center"/>
            </w:pPr>
            <w:r>
              <w:rPr>
                <w:rFonts w:ascii="Times New Roman" w:hAnsi="Times New Roman"/>
                <w:b w:val="0"/>
                <w:i w:val="0"/>
                <w:sz w:val="16"/>
              </w:rPr>
              <w:t>Validated string</w:t>
            </w:r>
          </w:p>
        </w:tc>
      </w:tr>
      <w:tr>
        <w:tc>
          <w:tcPr>
            <w:tcW w:type="dxa" w:w="3373"/>
          </w:tcPr>
          <w:p>
            <w:pPr>
              <w:spacing w:before="40" w:after="40"/>
              <w:jc w:val="left"/>
            </w:pPr>
            <w:r>
              <w:rPr>
                <w:rFonts w:ascii="Times New Roman" w:hAnsi="Times New Roman"/>
                <w:b w:val="0"/>
                <w:i w:val="0"/>
                <w:sz w:val="16"/>
              </w:rPr>
              <w:t>NLP Preproc.</w:t>
            </w:r>
          </w:p>
        </w:tc>
        <w:tc>
          <w:tcPr>
            <w:tcW w:type="dxa" w:w="3373"/>
          </w:tcPr>
          <w:p>
            <w:pPr>
              <w:spacing w:before="40" w:after="40"/>
              <w:jc w:val="center"/>
            </w:pPr>
            <w:r>
              <w:rPr>
                <w:rFonts w:ascii="Times New Roman" w:hAnsi="Times New Roman"/>
                <w:b w:val="0"/>
                <w:i w:val="0"/>
                <w:sz w:val="16"/>
              </w:rPr>
              <w:t>Regex + keyword rules</w:t>
            </w:r>
          </w:p>
        </w:tc>
        <w:tc>
          <w:tcPr>
            <w:tcW w:type="dxa" w:w="3373"/>
          </w:tcPr>
          <w:p>
            <w:pPr>
              <w:spacing w:before="40" w:after="40"/>
              <w:jc w:val="center"/>
            </w:pPr>
            <w:r>
              <w:rPr>
                <w:rFonts w:ascii="Times New Roman" w:hAnsi="Times New Roman"/>
                <w:b w:val="0"/>
                <w:i w:val="0"/>
                <w:sz w:val="16"/>
              </w:rPr>
              <w:t>Intent, tokens, nums</w:t>
            </w:r>
          </w:p>
        </w:tc>
      </w:tr>
      <w:tr>
        <w:tc>
          <w:tcPr>
            <w:tcW w:type="dxa" w:w="3373"/>
          </w:tcPr>
          <w:p>
            <w:pPr>
              <w:spacing w:before="40" w:after="40"/>
              <w:jc w:val="left"/>
            </w:pPr>
            <w:r>
              <w:rPr>
                <w:rFonts w:ascii="Times New Roman" w:hAnsi="Times New Roman"/>
                <w:b w:val="0"/>
                <w:i w:val="0"/>
                <w:sz w:val="16"/>
              </w:rPr>
              <w:t>Schema Linking</w:t>
            </w:r>
          </w:p>
        </w:tc>
        <w:tc>
          <w:tcPr>
            <w:tcW w:type="dxa" w:w="3373"/>
          </w:tcPr>
          <w:p>
            <w:pPr>
              <w:spacing w:before="40" w:after="40"/>
              <w:jc w:val="center"/>
            </w:pPr>
            <w:r>
              <w:rPr>
                <w:rFonts w:ascii="Times New Roman" w:hAnsi="Times New Roman"/>
                <w:b w:val="0"/>
                <w:i w:val="0"/>
                <w:sz w:val="16"/>
              </w:rPr>
              <w:t>SentenceTransformers MiniLM</w:t>
            </w:r>
          </w:p>
        </w:tc>
        <w:tc>
          <w:tcPr>
            <w:tcW w:type="dxa" w:w="3373"/>
          </w:tcPr>
          <w:p>
            <w:pPr>
              <w:spacing w:before="40" w:after="40"/>
              <w:jc w:val="center"/>
            </w:pPr>
            <w:r>
              <w:rPr>
                <w:rFonts w:ascii="Times New Roman" w:hAnsi="Times New Roman"/>
                <w:b w:val="0"/>
                <w:i w:val="0"/>
                <w:sz w:val="16"/>
              </w:rPr>
              <w:t>Table + top-5 cols</w:t>
            </w:r>
          </w:p>
        </w:tc>
      </w:tr>
      <w:tr>
        <w:tc>
          <w:tcPr>
            <w:tcW w:type="dxa" w:w="3373"/>
          </w:tcPr>
          <w:p>
            <w:pPr>
              <w:spacing w:before="40" w:after="40"/>
              <w:jc w:val="left"/>
            </w:pPr>
            <w:r>
              <w:rPr>
                <w:rFonts w:ascii="Times New Roman" w:hAnsi="Times New Roman"/>
                <w:b w:val="0"/>
                <w:i w:val="0"/>
                <w:sz w:val="16"/>
              </w:rPr>
              <w:t>SQL Generation</w:t>
            </w:r>
          </w:p>
        </w:tc>
        <w:tc>
          <w:tcPr>
            <w:tcW w:type="dxa" w:w="3373"/>
          </w:tcPr>
          <w:p>
            <w:pPr>
              <w:spacing w:before="40" w:after="40"/>
              <w:jc w:val="center"/>
            </w:pPr>
            <w:r>
              <w:rPr>
                <w:rFonts w:ascii="Times New Roman" w:hAnsi="Times New Roman"/>
                <w:b w:val="0"/>
                <w:i w:val="0"/>
                <w:sz w:val="16"/>
              </w:rPr>
              <w:t>Intent templates</w:t>
            </w:r>
          </w:p>
        </w:tc>
        <w:tc>
          <w:tcPr>
            <w:tcW w:type="dxa" w:w="3373"/>
          </w:tcPr>
          <w:p>
            <w:pPr>
              <w:spacing w:before="40" w:after="40"/>
              <w:jc w:val="center"/>
            </w:pPr>
            <w:r>
              <w:rPr>
                <w:rFonts w:ascii="Times New Roman" w:hAnsi="Times New Roman"/>
                <w:b w:val="0"/>
                <w:i w:val="0"/>
                <w:sz w:val="16"/>
              </w:rPr>
              <w:t>SQL + explanation</w:t>
            </w:r>
          </w:p>
        </w:tc>
      </w:tr>
      <w:tr>
        <w:tc>
          <w:tcPr>
            <w:tcW w:type="dxa" w:w="3373"/>
          </w:tcPr>
          <w:p>
            <w:pPr>
              <w:spacing w:before="40" w:after="40"/>
              <w:jc w:val="left"/>
            </w:pPr>
            <w:r>
              <w:rPr>
                <w:rFonts w:ascii="Times New Roman" w:hAnsi="Times New Roman"/>
                <w:b w:val="0"/>
                <w:i w:val="0"/>
                <w:sz w:val="16"/>
              </w:rPr>
              <w:t>Execution</w:t>
            </w:r>
          </w:p>
        </w:tc>
        <w:tc>
          <w:tcPr>
            <w:tcW w:type="dxa" w:w="3373"/>
          </w:tcPr>
          <w:p>
            <w:pPr>
              <w:spacing w:before="40" w:after="40"/>
              <w:jc w:val="center"/>
            </w:pPr>
            <w:r>
              <w:rPr>
                <w:rFonts w:ascii="Times New Roman" w:hAnsi="Times New Roman"/>
                <w:b w:val="0"/>
                <w:i w:val="0"/>
                <w:sz w:val="16"/>
              </w:rPr>
              <w:t>SQLAlchemy + pandas</w:t>
            </w:r>
          </w:p>
        </w:tc>
        <w:tc>
          <w:tcPr>
            <w:tcW w:type="dxa" w:w="3373"/>
          </w:tcPr>
          <w:p>
            <w:pPr>
              <w:spacing w:before="40" w:after="40"/>
              <w:jc w:val="center"/>
            </w:pPr>
            <w:r>
              <w:rPr>
                <w:rFonts w:ascii="Times New Roman" w:hAnsi="Times New Roman"/>
                <w:b w:val="0"/>
                <w:i w:val="0"/>
                <w:sz w:val="16"/>
              </w:rPr>
              <w:t>JSON rows</w:t>
            </w:r>
          </w:p>
        </w:tc>
      </w:tr>
    </w:tbl>
    <w:p>
      <w:pPr>
        <w:spacing w:before="40" w:after="120"/>
        <w:jc w:val="center"/>
      </w:pPr>
      <w:r>
        <w:rPr>
          <w:rFonts w:ascii="Times New Roman" w:hAnsi="Times New Roman"/>
          <w:b w:val="0"/>
          <w:i/>
          <w:sz w:val="16"/>
        </w:rPr>
        <w:t>TABLE I: NL2SQL Pipeline Layers</w:t>
      </w:r>
    </w:p>
    <w:p>
      <w:pPr>
        <w:spacing w:before="140" w:after="60"/>
        <w:jc w:val="left"/>
      </w:pPr>
      <w:r>
        <w:rPr>
          <w:rFonts w:ascii="Times New Roman" w:hAnsi="Times New Roman"/>
          <w:b/>
          <w:i/>
          <w:sz w:val="19"/>
        </w:rPr>
        <w:t>A. NLP Preprocessing</w:t>
      </w:r>
    </w:p>
    <w:p>
      <w:pPr>
        <w:spacing w:before="0" w:after="100"/>
        <w:jc w:val="both"/>
      </w:pPr>
      <w:r>
        <w:rPr>
          <w:rFonts w:ascii="Times New Roman" w:hAnsi="Times New Roman"/>
          <w:b w:val="0"/>
          <w:i w:val="0"/>
          <w:sz w:val="19"/>
        </w:rPr>
        <w:t>The preprocessor runs four steps. Normalisation: lowercase, strip punctuation via regex, collapse whitespace. Tokenisation: split on spaces. Keyword extraction: remove a 37-word stopword list — function words plus domain-generic verbs ('show', 'get', 'list'). Intent detection classifies into one of six classes: COUNT, AVERAGE, TOP_N, BOTTOM_N, FILTER_GT, FILTER_LT, using ordered keyword trigger matching. Number extraction runs in parallel via digit regex plus word-to-numeral lookup.</w:t>
      </w:r>
    </w:p>
    <w:p>
      <w:pPr>
        <w:spacing w:before="0" w:after="100"/>
        <w:jc w:val="both"/>
      </w:pPr>
      <w:r>
        <w:rPr>
          <w:rFonts w:ascii="Times New Roman" w:hAnsi="Times New Roman"/>
          <w:b w:val="0"/>
          <w:i w:val="0"/>
          <w:sz w:val="19"/>
        </w:rPr>
        <w:t>Intent detection is rule-based because the six-class closed set is discriminative enough that keyword matching hits 100% precision on well-formed queries. A logistic regression baseline during development matched it identically — so we kept the simpler option.</w:t>
      </w:r>
    </w:p>
    <w:p>
      <w:pPr>
        <w:spacing w:before="140" w:after="60"/>
        <w:jc w:val="left"/>
      </w:pPr>
      <w:r>
        <w:rPr>
          <w:rFonts w:ascii="Times New Roman" w:hAnsi="Times New Roman"/>
          <w:b/>
          <w:i/>
          <w:sz w:val="19"/>
        </w:rPr>
        <w:t>B. Transformer-Based Schema Linking</w:t>
      </w:r>
    </w:p>
    <w:p>
      <w:pPr>
        <w:spacing w:before="0" w:after="100"/>
        <w:jc w:val="both"/>
      </w:pPr>
      <w:r>
        <w:rPr>
          <w:rFonts w:ascii="Times New Roman" w:hAnsi="Times New Roman"/>
          <w:b w:val="0"/>
          <w:i w:val="0"/>
          <w:sz w:val="19"/>
        </w:rPr>
        <w:t>The EmbeddingMatcher loads all-MiniLM-L6-v2 at startup — 22M parameters, 384-dimensional dense vectors, ~80–100 ms per sentence on CPU, under 90 MB, no GPU needed. At startup, embeddings are pre-computed for every table and column description. At query time, a 54-entry synonym dictionary normalises variants first ('grade' → 'marks', 'branch' → 'department', 'teacher' → 'faculty'), then cosine similarity selects the best table and top-5 columns.</w:t>
      </w:r>
    </w:p>
    <w:p>
      <w:pPr>
        <w:spacing w:before="140" w:after="60"/>
        <w:jc w:val="left"/>
      </w:pPr>
      <w:r>
        <w:rPr>
          <w:rFonts w:ascii="Times New Roman" w:hAnsi="Times New Roman"/>
          <w:b/>
          <w:i/>
          <w:sz w:val="19"/>
        </w:rPr>
        <w:t>C. SQL Generation</w:t>
      </w:r>
    </w:p>
    <w:p>
      <w:pPr>
        <w:spacing w:before="0" w:after="100"/>
        <w:jc w:val="both"/>
      </w:pPr>
      <w:r>
        <w:rPr>
          <w:rFonts w:ascii="Times New Roman" w:hAnsi="Times New Roman"/>
          <w:b w:val="0"/>
          <w:i w:val="0"/>
          <w:sz w:val="19"/>
        </w:rPr>
        <w:t>The SQLGenerator instantiates a template per intent class. COUNT produces 'SELECT COUNT(*) AS total FROM {table}'. TOP_N produces 'SELECT * FROM {table} ORDER BY {col} DESC LIMIT {n}'. For the default SELECT case, a department-code heuristic appends a WHERE clause if the query contains CSE, ECE, ME, IT, EEE, or CIVIL. Every call returns an explanation dictionary alongside the SQL — intent, matched table, parameterised values — for full auditability.</w:t>
      </w:r>
    </w:p>
    <w:p>
      <w:pPr>
        <w:spacing w:before="140" w:after="60"/>
        <w:jc w:val="left"/>
      </w:pPr>
      <w:r>
        <w:rPr>
          <w:rFonts w:ascii="Times New Roman" w:hAnsi="Times New Roman"/>
          <w:b/>
          <w:i/>
          <w:sz w:val="19"/>
        </w:rPr>
        <w:t>D. Execution and Safety</w:t>
      </w:r>
    </w:p>
    <w:p>
      <w:pPr>
        <w:spacing w:before="0" w:after="100"/>
        <w:jc w:val="both"/>
      </w:pPr>
      <w:r>
        <w:rPr>
          <w:rFonts w:ascii="Times New Roman" w:hAnsi="Times New Roman"/>
          <w:b w:val="0"/>
          <w:i w:val="0"/>
          <w:sz w:val="19"/>
        </w:rPr>
        <w:t>Executor validates against a blocklist: DROP, DELETE, INSERT, UPDATE, TRUNCATE, ALTER, CREATE, EXEC. Queries not starting with SELECT are rejected. Execution uses pandas' read_sql, returning rows as a list of lists with column names and row count. On the three-table SQLite database, execution takes 3–6 ms.</w:t>
      </w:r>
    </w:p>
    <w:p>
      <w:pPr>
        <w:spacing w:before="140" w:after="60"/>
        <w:jc w:val="left"/>
      </w:pPr>
      <w:r>
        <w:rPr>
          <w:rFonts w:ascii="Times New Roman" w:hAnsi="Times New Roman"/>
          <w:b/>
          <w:i/>
          <w:sz w:val="19"/>
        </w:rPr>
        <w:t>E. API Layer</w:t>
      </w:r>
    </w:p>
    <w:p>
      <w:pPr>
        <w:spacing w:before="0" w:after="100"/>
        <w:jc w:val="both"/>
      </w:pPr>
      <w:r>
        <w:rPr>
          <w:rFonts w:ascii="Times New Roman" w:hAnsi="Times New Roman"/>
          <w:b w:val="0"/>
          <w:i w:val="0"/>
          <w:sz w:val="19"/>
        </w:rPr>
        <w:t>FastAPI serves three endpoints: POST /query (main pipeline), GET /schema (schema metadata), GET /health (model name + status). The /health endpoint naming the transformer model lets a monitoring script verify the correct model is loaded without inspecting logs.</w:t>
      </w:r>
    </w:p>
    <w:p>
      <w:pPr>
        <w:spacing w:before="200" w:after="100"/>
        <w:jc w:val="center"/>
      </w:pPr>
      <w:r>
        <w:rPr>
          <w:rFonts w:ascii="Times New Roman" w:hAnsi="Times New Roman"/>
          <w:b/>
          <w:i w:val="0"/>
          <w:sz w:val="20"/>
        </w:rPr>
        <w:t>IV. EXPERIMENTAL SETUP</w:t>
      </w:r>
    </w:p>
    <w:p>
      <w:pPr>
        <w:spacing w:before="140" w:after="60"/>
        <w:jc w:val="left"/>
      </w:pPr>
      <w:r>
        <w:rPr>
          <w:rFonts w:ascii="Times New Roman" w:hAnsi="Times New Roman"/>
          <w:b/>
          <w:i/>
          <w:sz w:val="19"/>
        </w:rPr>
        <w:t>A. Database</w:t>
      </w:r>
    </w:p>
    <w:p>
      <w:pPr>
        <w:spacing w:before="0" w:after="100"/>
        <w:jc w:val="both"/>
      </w:pPr>
      <w:r>
        <w:rPr>
          <w:rFonts w:ascii="Times New Roman" w:hAnsi="Times New Roman"/>
          <w:b w:val="0"/>
          <w:i w:val="0"/>
          <w:sz w:val="19"/>
        </w:rPr>
        <w:t>Three tables: students (id, name, department, CGPA, attendance, semester — 10 records), marks (student_id, subject, marks, semester — 50 records), courses (course_name, faculty, credits — 5 records). The dataset is intentionally small — the evaluation tests SQL generation and schema linking correctness, not performance.</w:t>
      </w:r>
    </w:p>
    <w:p>
      <w:pPr>
        <w:spacing w:before="140" w:after="60"/>
        <w:jc w:val="left"/>
      </w:pPr>
      <w:r>
        <w:rPr>
          <w:rFonts w:ascii="Times New Roman" w:hAnsi="Times New Roman"/>
          <w:b/>
          <w:i/>
          <w:sz w:val="19"/>
        </w:rPr>
        <w:t>B. Test Queries</w:t>
      </w:r>
    </w:p>
    <w:p>
      <w:pPr>
        <w:spacing w:before="0" w:after="100"/>
        <w:jc w:val="both"/>
      </w:pPr>
      <w:r>
        <w:rPr>
          <w:rFonts w:ascii="Times New Roman" w:hAnsi="Times New Roman"/>
          <w:b w:val="0"/>
          <w:i w:val="0"/>
          <w:sz w:val="19"/>
        </w:rPr>
        <w:t>60 manually written queries — 10 per intent class, across three linguistic variation sub-groups: (a) direct phrasing using trigger words; (b) synonym variants covered by the expansion dictionary; (c) semantically novel phrasings with no lexical overlap with schema vocabulary. Ground-truth SQL was written and verified by hand. A query was correct if generated SQL returned the same result set.</w:t>
      </w:r>
    </w:p>
    <w:p>
      <w:pPr>
        <w:spacing w:before="140" w:after="60"/>
        <w:jc w:val="left"/>
      </w:pPr>
      <w:r>
        <w:rPr>
          <w:rFonts w:ascii="Times New Roman" w:hAnsi="Times New Roman"/>
          <w:b/>
          <w:i/>
          <w:sz w:val="19"/>
        </w:rPr>
        <w:t>C. Metrics</w:t>
      </w:r>
    </w:p>
    <w:p>
      <w:pPr>
        <w:spacing w:before="0" w:after="100"/>
        <w:jc w:val="both"/>
      </w:pPr>
      <w:r>
        <w:rPr>
          <w:rFonts w:ascii="Times New Roman" w:hAnsi="Times New Roman"/>
          <w:b w:val="0"/>
          <w:i w:val="0"/>
          <w:sz w:val="19"/>
        </w:rPr>
        <w:t>Three metrics: (1) Execution Accuracy (EA) — primary, fraction where generated SQL returns the correct result set. (2) Schema Match Accuracy (SMA) — fraction where the correct table is selected. (3) SQL Structural Match (SSM) — exact normalised SQL match. We also recorded end-to-end latency on a dual-core 2.4 GHz CPU, 8 GB RAM, no GPU.</w:t>
      </w:r>
    </w:p>
    <w:p>
      <w:pPr>
        <w:spacing w:before="140" w:after="60"/>
        <w:jc w:val="left"/>
      </w:pPr>
      <w:r>
        <w:rPr>
          <w:rFonts w:ascii="Times New Roman" w:hAnsi="Times New Roman"/>
          <w:b/>
          <w:i/>
          <w:sz w:val="19"/>
        </w:rPr>
        <w:t>D. Baseline</w:t>
      </w:r>
    </w:p>
    <w:p>
      <w:pPr>
        <w:spacing w:before="0" w:after="100"/>
        <w:jc w:val="both"/>
      </w:pPr>
      <w:r>
        <w:rPr>
          <w:rFonts w:ascii="Times New Roman" w:hAnsi="Times New Roman"/>
          <w:b w:val="0"/>
          <w:i w:val="0"/>
          <w:sz w:val="19"/>
        </w:rPr>
        <w:t>A keyword-only schema linker using exact token-to-column-name string matching, with alphabetic fallback on no match. Same intent detection, templates, and executor — only schema linking differs, isolating the transformer's contribution.</w:t>
      </w:r>
    </w:p>
    <w:p>
      <w:pPr>
        <w:spacing w:before="200" w:after="100"/>
        <w:jc w:val="center"/>
      </w:pPr>
      <w:r>
        <w:rPr>
          <w:rFonts w:ascii="Times New Roman" w:hAnsi="Times New Roman"/>
          <w:b/>
          <w:i w:val="0"/>
          <w:sz w:val="20"/>
        </w:rPr>
        <w:t>V. RESULTS</w:t>
      </w:r>
    </w:p>
    <w:p>
      <w:pPr>
        <w:spacing w:before="140" w:after="60"/>
        <w:jc w:val="left"/>
      </w:pPr>
      <w:r>
        <w:rPr>
          <w:rFonts w:ascii="Times New Roman" w:hAnsi="Times New Roman"/>
          <w:b/>
          <w:i/>
          <w:sz w:val="19"/>
        </w:rPr>
        <w:t>A. Overall Performance</w:t>
      </w:r>
    </w:p>
    <w:p>
      <w:pPr>
        <w:spacing w:before="0" w:after="100"/>
        <w:jc w:val="both"/>
      </w:pPr>
      <w:r>
        <w:rPr>
          <w:rFonts w:ascii="Times New Roman" w:hAnsi="Times New Roman"/>
          <w:b w:val="0"/>
          <w:i w:val="0"/>
          <w:sz w:val="19"/>
        </w:rPr>
        <w:t>Execution accuracy: 88.3% (53/60). Schema match accuracy: 93.3% (56/60). SQL structural match: 85.0% (51/60). The gap between SMA and EA reflects queries where the correct table was selected but SQL differed structurally while returning the same result set.</w:t>
      </w:r>
    </w:p>
    <w:tbl>
      <w:tblPr>
        <w:tblStyle w:val="TableGrid"/>
        <w:tblW w:type="auto" w:w="0"/>
        <w:tblLook w:firstColumn="1" w:firstRow="1" w:lastColumn="0" w:lastRow="0" w:noHBand="0" w:noVBand="1" w:val="04A0"/>
      </w:tblPr>
      <w:tblGrid>
        <w:gridCol w:w="1687"/>
        <w:gridCol w:w="1687"/>
        <w:gridCol w:w="1687"/>
        <w:gridCol w:w="1687"/>
        <w:gridCol w:w="1687"/>
        <w:gridCol w:w="1687"/>
      </w:tblGrid>
      <w:tr>
        <w:tc>
          <w:tcPr>
            <w:tcW w:type="dxa" w:w="1687"/>
          </w:tcPr>
          <w:p>
            <w:pPr>
              <w:spacing w:before="40" w:after="40"/>
              <w:jc w:val="center"/>
            </w:pPr>
            <w:r>
              <w:rPr>
                <w:rFonts w:ascii="Times New Roman" w:hAnsi="Times New Roman"/>
                <w:b/>
                <w:i w:val="0"/>
                <w:sz w:val="15"/>
              </w:rPr>
              <w:t>Intent</w:t>
            </w:r>
          </w:p>
        </w:tc>
        <w:tc>
          <w:tcPr>
            <w:tcW w:type="dxa" w:w="1687"/>
          </w:tcPr>
          <w:p>
            <w:pPr>
              <w:spacing w:before="40" w:after="40"/>
              <w:jc w:val="center"/>
            </w:pPr>
            <w:r>
              <w:rPr>
                <w:rFonts w:ascii="Times New Roman" w:hAnsi="Times New Roman"/>
                <w:b/>
                <w:i w:val="0"/>
                <w:sz w:val="15"/>
              </w:rPr>
              <w:t>N</w:t>
            </w:r>
          </w:p>
        </w:tc>
        <w:tc>
          <w:tcPr>
            <w:tcW w:type="dxa" w:w="1687"/>
          </w:tcPr>
          <w:p>
            <w:pPr>
              <w:spacing w:before="40" w:after="40"/>
              <w:jc w:val="center"/>
            </w:pPr>
            <w:r>
              <w:rPr>
                <w:rFonts w:ascii="Times New Roman" w:hAnsi="Times New Roman"/>
                <w:b/>
                <w:i w:val="0"/>
                <w:sz w:val="15"/>
              </w:rPr>
              <w:t>EA</w:t>
            </w:r>
          </w:p>
        </w:tc>
        <w:tc>
          <w:tcPr>
            <w:tcW w:type="dxa" w:w="1687"/>
          </w:tcPr>
          <w:p>
            <w:pPr>
              <w:spacing w:before="40" w:after="40"/>
              <w:jc w:val="center"/>
            </w:pPr>
            <w:r>
              <w:rPr>
                <w:rFonts w:ascii="Times New Roman" w:hAnsi="Times New Roman"/>
                <w:b/>
                <w:i w:val="0"/>
                <w:sz w:val="15"/>
              </w:rPr>
              <w:t>SMA</w:t>
            </w:r>
          </w:p>
        </w:tc>
        <w:tc>
          <w:tcPr>
            <w:tcW w:type="dxa" w:w="1687"/>
          </w:tcPr>
          <w:p>
            <w:pPr>
              <w:spacing w:before="40" w:after="40"/>
              <w:jc w:val="center"/>
            </w:pPr>
            <w:r>
              <w:rPr>
                <w:rFonts w:ascii="Times New Roman" w:hAnsi="Times New Roman"/>
                <w:b/>
                <w:i w:val="0"/>
                <w:sz w:val="15"/>
              </w:rPr>
              <w:t>SSM</w:t>
            </w:r>
          </w:p>
        </w:tc>
        <w:tc>
          <w:tcPr>
            <w:tcW w:type="dxa" w:w="1687"/>
          </w:tcPr>
          <w:p>
            <w:pPr>
              <w:spacing w:before="40" w:after="40"/>
              <w:jc w:val="center"/>
            </w:pPr>
            <w:r>
              <w:rPr>
                <w:rFonts w:ascii="Times New Roman" w:hAnsi="Times New Roman"/>
                <w:b/>
                <w:i w:val="0"/>
                <w:sz w:val="15"/>
              </w:rPr>
              <w:t>ms</w:t>
            </w:r>
          </w:p>
        </w:tc>
      </w:tr>
      <w:tr>
        <w:tc>
          <w:tcPr>
            <w:tcW w:type="dxa" w:w="1687"/>
          </w:tcPr>
          <w:p>
            <w:pPr>
              <w:spacing w:before="40" w:after="40"/>
              <w:jc w:val="center"/>
            </w:pPr>
            <w:r>
              <w:rPr>
                <w:rFonts w:ascii="Times New Roman" w:hAnsi="Times New Roman"/>
                <w:b w:val="0"/>
                <w:i w:val="0"/>
                <w:sz w:val="15"/>
              </w:rPr>
              <w:t>COUNT</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100%</w:t>
            </w:r>
          </w:p>
        </w:tc>
        <w:tc>
          <w:tcPr>
            <w:tcW w:type="dxa" w:w="1687"/>
          </w:tcPr>
          <w:p>
            <w:pPr>
              <w:spacing w:before="40" w:after="40"/>
              <w:jc w:val="center"/>
            </w:pPr>
            <w:r>
              <w:rPr>
                <w:rFonts w:ascii="Times New Roman" w:hAnsi="Times New Roman"/>
                <w:b w:val="0"/>
                <w:i w:val="0"/>
                <w:sz w:val="15"/>
              </w:rPr>
              <w:t>100%</w:t>
            </w:r>
          </w:p>
        </w:tc>
        <w:tc>
          <w:tcPr>
            <w:tcW w:type="dxa" w:w="1687"/>
          </w:tcPr>
          <w:p>
            <w:pPr>
              <w:spacing w:before="40" w:after="40"/>
              <w:jc w:val="center"/>
            </w:pPr>
            <w:r>
              <w:rPr>
                <w:rFonts w:ascii="Times New Roman" w:hAnsi="Times New Roman"/>
                <w:b w:val="0"/>
                <w:i w:val="0"/>
                <w:sz w:val="15"/>
              </w:rPr>
              <w:t>100%</w:t>
            </w:r>
          </w:p>
        </w:tc>
        <w:tc>
          <w:tcPr>
            <w:tcW w:type="dxa" w:w="1687"/>
          </w:tcPr>
          <w:p>
            <w:pPr>
              <w:spacing w:before="40" w:after="40"/>
              <w:jc w:val="center"/>
            </w:pPr>
            <w:r>
              <w:rPr>
                <w:rFonts w:ascii="Times New Roman" w:hAnsi="Times New Roman"/>
                <w:b w:val="0"/>
                <w:i w:val="0"/>
                <w:sz w:val="15"/>
              </w:rPr>
              <w:t>142</w:t>
            </w:r>
          </w:p>
        </w:tc>
      </w:tr>
      <w:tr>
        <w:tc>
          <w:tcPr>
            <w:tcW w:type="dxa" w:w="1687"/>
          </w:tcPr>
          <w:p>
            <w:pPr>
              <w:spacing w:before="40" w:after="40"/>
              <w:jc w:val="center"/>
            </w:pPr>
            <w:r>
              <w:rPr>
                <w:rFonts w:ascii="Times New Roman" w:hAnsi="Times New Roman"/>
                <w:b w:val="0"/>
                <w:i w:val="0"/>
                <w:sz w:val="15"/>
              </w:rPr>
              <w:t>AVERAGE</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100%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155</w:t>
            </w:r>
          </w:p>
        </w:tc>
      </w:tr>
      <w:tr>
        <w:tc>
          <w:tcPr>
            <w:tcW w:type="dxa" w:w="1687"/>
          </w:tcPr>
          <w:p>
            <w:pPr>
              <w:spacing w:before="40" w:after="40"/>
              <w:jc w:val="center"/>
            </w:pPr>
            <w:r>
              <w:rPr>
                <w:rFonts w:ascii="Times New Roman" w:hAnsi="Times New Roman"/>
                <w:b w:val="0"/>
                <w:i w:val="0"/>
                <w:sz w:val="15"/>
              </w:rPr>
              <w:t>TOP_N</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168</w:t>
            </w:r>
          </w:p>
        </w:tc>
      </w:tr>
      <w:tr>
        <w:tc>
          <w:tcPr>
            <w:tcW w:type="dxa" w:w="1687"/>
          </w:tcPr>
          <w:p>
            <w:pPr>
              <w:spacing w:before="40" w:after="40"/>
              <w:jc w:val="center"/>
            </w:pPr>
            <w:r>
              <w:rPr>
                <w:rFonts w:ascii="Times New Roman" w:hAnsi="Times New Roman"/>
                <w:b w:val="0"/>
                <w:i w:val="0"/>
                <w:sz w:val="15"/>
              </w:rPr>
              <w:t>BOTTOM_N</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100%</w:t>
            </w:r>
          </w:p>
        </w:tc>
        <w:tc>
          <w:tcPr>
            <w:tcW w:type="dxa" w:w="1687"/>
          </w:tcPr>
          <w:p>
            <w:pPr>
              <w:spacing w:before="40" w:after="40"/>
              <w:jc w:val="center"/>
            </w:pPr>
            <w:r>
              <w:rPr>
                <w:rFonts w:ascii="Times New Roman" w:hAnsi="Times New Roman"/>
                <w:b w:val="0"/>
                <w:i w:val="0"/>
                <w:sz w:val="15"/>
              </w:rPr>
              <w:t>80%</w:t>
            </w:r>
          </w:p>
        </w:tc>
        <w:tc>
          <w:tcPr>
            <w:tcW w:type="dxa" w:w="1687"/>
          </w:tcPr>
          <w:p>
            <w:pPr>
              <w:spacing w:before="40" w:after="40"/>
              <w:jc w:val="center"/>
            </w:pPr>
            <w:r>
              <w:rPr>
                <w:rFonts w:ascii="Times New Roman" w:hAnsi="Times New Roman"/>
                <w:b w:val="0"/>
                <w:i w:val="0"/>
                <w:sz w:val="15"/>
              </w:rPr>
              <w:t>171</w:t>
            </w:r>
          </w:p>
        </w:tc>
      </w:tr>
      <w:tr>
        <w:tc>
          <w:tcPr>
            <w:tcW w:type="dxa" w:w="1687"/>
          </w:tcPr>
          <w:p>
            <w:pPr>
              <w:spacing w:before="40" w:after="40"/>
              <w:jc w:val="center"/>
            </w:pPr>
            <w:r>
              <w:rPr>
                <w:rFonts w:ascii="Times New Roman" w:hAnsi="Times New Roman"/>
                <w:b w:val="0"/>
                <w:i w:val="0"/>
                <w:sz w:val="15"/>
              </w:rPr>
              <w:t>FILTER_GT</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80%</w:t>
            </w:r>
          </w:p>
        </w:tc>
        <w:tc>
          <w:tcPr>
            <w:tcW w:type="dxa" w:w="1687"/>
          </w:tcPr>
          <w:p>
            <w:pPr>
              <w:spacing w:before="40" w:after="40"/>
              <w:jc w:val="center"/>
            </w:pPr>
            <w:r>
              <w:rPr>
                <w:rFonts w:ascii="Times New Roman" w:hAnsi="Times New Roman"/>
                <w:b w:val="0"/>
                <w:i w:val="0"/>
                <w:sz w:val="15"/>
              </w:rPr>
              <w:t>90%</w:t>
            </w:r>
          </w:p>
        </w:tc>
        <w:tc>
          <w:tcPr>
            <w:tcW w:type="dxa" w:w="1687"/>
          </w:tcPr>
          <w:p>
            <w:pPr>
              <w:spacing w:before="40" w:after="40"/>
              <w:jc w:val="center"/>
            </w:pPr>
            <w:r>
              <w:rPr>
                <w:rFonts w:ascii="Times New Roman" w:hAnsi="Times New Roman"/>
                <w:b w:val="0"/>
                <w:i w:val="0"/>
                <w:sz w:val="15"/>
              </w:rPr>
              <w:t>80%</w:t>
            </w:r>
          </w:p>
        </w:tc>
        <w:tc>
          <w:tcPr>
            <w:tcW w:type="dxa" w:w="1687"/>
          </w:tcPr>
          <w:p>
            <w:pPr>
              <w:spacing w:before="40" w:after="40"/>
              <w:jc w:val="center"/>
            </w:pPr>
            <w:r>
              <w:rPr>
                <w:rFonts w:ascii="Times New Roman" w:hAnsi="Times New Roman"/>
                <w:b w:val="0"/>
                <w:i w:val="0"/>
                <w:sz w:val="15"/>
              </w:rPr>
              <w:t>163</w:t>
            </w:r>
          </w:p>
        </w:tc>
      </w:tr>
      <w:tr>
        <w:tc>
          <w:tcPr>
            <w:tcW w:type="dxa" w:w="1687"/>
          </w:tcPr>
          <w:p>
            <w:pPr>
              <w:spacing w:before="40" w:after="40"/>
              <w:jc w:val="center"/>
            </w:pPr>
            <w:r>
              <w:rPr>
                <w:rFonts w:ascii="Times New Roman" w:hAnsi="Times New Roman"/>
                <w:b w:val="0"/>
                <w:i w:val="0"/>
                <w:sz w:val="15"/>
              </w:rPr>
              <w:t>FILTER_LT</w:t>
            </w:r>
          </w:p>
        </w:tc>
        <w:tc>
          <w:tcPr>
            <w:tcW w:type="dxa" w:w="1687"/>
          </w:tcPr>
          <w:p>
            <w:pPr>
              <w:spacing w:before="40" w:after="40"/>
              <w:jc w:val="center"/>
            </w:pPr>
            <w:r>
              <w:rPr>
                <w:rFonts w:ascii="Times New Roman" w:hAnsi="Times New Roman"/>
                <w:b w:val="0"/>
                <w:i w:val="0"/>
                <w:sz w:val="15"/>
              </w:rPr>
              <w:t>10</w:t>
            </w:r>
          </w:p>
        </w:tc>
        <w:tc>
          <w:tcPr>
            <w:tcW w:type="dxa" w:w="1687"/>
          </w:tcPr>
          <w:p>
            <w:pPr>
              <w:spacing w:before="40" w:after="40"/>
              <w:jc w:val="center"/>
            </w:pPr>
            <w:r>
              <w:rPr>
                <w:rFonts w:ascii="Times New Roman" w:hAnsi="Times New Roman"/>
                <w:b w:val="0"/>
                <w:i w:val="0"/>
                <w:sz w:val="15"/>
              </w:rPr>
              <w:t>80%</w:t>
            </w:r>
          </w:p>
        </w:tc>
        <w:tc>
          <w:tcPr>
            <w:tcW w:type="dxa" w:w="1687"/>
          </w:tcPr>
          <w:p>
            <w:pPr>
              <w:spacing w:before="40" w:after="40"/>
              <w:jc w:val="center"/>
            </w:pPr>
            <w:r>
              <w:rPr>
                <w:rFonts w:ascii="Times New Roman" w:hAnsi="Times New Roman"/>
                <w:b w:val="0"/>
                <w:i w:val="0"/>
                <w:sz w:val="15"/>
              </w:rPr>
              <w:t>80%</w:t>
            </w:r>
          </w:p>
        </w:tc>
        <w:tc>
          <w:tcPr>
            <w:tcW w:type="dxa" w:w="1687"/>
          </w:tcPr>
          <w:p>
            <w:pPr>
              <w:spacing w:before="40" w:after="40"/>
              <w:jc w:val="center"/>
            </w:pPr>
            <w:r>
              <w:rPr>
                <w:rFonts w:ascii="Times New Roman" w:hAnsi="Times New Roman"/>
                <w:b w:val="0"/>
                <w:i w:val="0"/>
                <w:sz w:val="15"/>
              </w:rPr>
              <w:t>70%</w:t>
            </w:r>
          </w:p>
        </w:tc>
        <w:tc>
          <w:tcPr>
            <w:tcW w:type="dxa" w:w="1687"/>
          </w:tcPr>
          <w:p>
            <w:pPr>
              <w:spacing w:before="40" w:after="40"/>
              <w:jc w:val="center"/>
            </w:pPr>
            <w:r>
              <w:rPr>
                <w:rFonts w:ascii="Times New Roman" w:hAnsi="Times New Roman"/>
                <w:b w:val="0"/>
                <w:i w:val="0"/>
                <w:sz w:val="15"/>
              </w:rPr>
              <w:t>177</w:t>
            </w:r>
          </w:p>
        </w:tc>
      </w:tr>
      <w:tr>
        <w:tc>
          <w:tcPr>
            <w:tcW w:type="dxa" w:w="1687"/>
          </w:tcPr>
          <w:p>
            <w:pPr>
              <w:spacing w:before="40" w:after="40"/>
              <w:jc w:val="center"/>
            </w:pPr>
            <w:r>
              <w:rPr>
                <w:rFonts w:ascii="Times New Roman" w:hAnsi="Times New Roman"/>
                <w:b/>
                <w:i w:val="0"/>
                <w:sz w:val="15"/>
              </w:rPr>
              <w:t>Total</w:t>
            </w:r>
          </w:p>
        </w:tc>
        <w:tc>
          <w:tcPr>
            <w:tcW w:type="dxa" w:w="1687"/>
          </w:tcPr>
          <w:p>
            <w:pPr>
              <w:spacing w:before="40" w:after="40"/>
              <w:jc w:val="center"/>
            </w:pPr>
            <w:r>
              <w:rPr>
                <w:rFonts w:ascii="Times New Roman" w:hAnsi="Times New Roman"/>
                <w:b/>
                <w:i w:val="0"/>
                <w:sz w:val="15"/>
              </w:rPr>
              <w:t>60</w:t>
            </w:r>
          </w:p>
        </w:tc>
        <w:tc>
          <w:tcPr>
            <w:tcW w:type="dxa" w:w="1687"/>
          </w:tcPr>
          <w:p>
            <w:pPr>
              <w:spacing w:before="40" w:after="40"/>
              <w:jc w:val="center"/>
            </w:pPr>
            <w:r>
              <w:rPr>
                <w:rFonts w:ascii="Times New Roman" w:hAnsi="Times New Roman"/>
                <w:b/>
                <w:i w:val="0"/>
                <w:sz w:val="15"/>
              </w:rPr>
              <w:t>88.3%</w:t>
            </w:r>
          </w:p>
        </w:tc>
        <w:tc>
          <w:tcPr>
            <w:tcW w:type="dxa" w:w="1687"/>
          </w:tcPr>
          <w:p>
            <w:pPr>
              <w:spacing w:before="40" w:after="40"/>
              <w:jc w:val="center"/>
            </w:pPr>
            <w:r>
              <w:rPr>
                <w:rFonts w:ascii="Times New Roman" w:hAnsi="Times New Roman"/>
                <w:b/>
                <w:i w:val="0"/>
                <w:sz w:val="15"/>
              </w:rPr>
              <w:t>93.3%</w:t>
            </w:r>
          </w:p>
        </w:tc>
        <w:tc>
          <w:tcPr>
            <w:tcW w:type="dxa" w:w="1687"/>
          </w:tcPr>
          <w:p>
            <w:pPr>
              <w:spacing w:before="40" w:after="40"/>
              <w:jc w:val="center"/>
            </w:pPr>
            <w:r>
              <w:rPr>
                <w:rFonts w:ascii="Times New Roman" w:hAnsi="Times New Roman"/>
                <w:b/>
                <w:i w:val="0"/>
                <w:sz w:val="15"/>
              </w:rPr>
              <w:t>85.0%</w:t>
            </w:r>
          </w:p>
        </w:tc>
        <w:tc>
          <w:tcPr>
            <w:tcW w:type="dxa" w:w="1687"/>
          </w:tcPr>
          <w:p>
            <w:pPr>
              <w:spacing w:before="40" w:after="40"/>
              <w:jc w:val="center"/>
            </w:pPr>
            <w:r>
              <w:rPr>
                <w:rFonts w:ascii="Times New Roman" w:hAnsi="Times New Roman"/>
                <w:b/>
                <w:i w:val="0"/>
                <w:sz w:val="15"/>
              </w:rPr>
              <w:t>163</w:t>
            </w:r>
          </w:p>
        </w:tc>
      </w:tr>
    </w:tbl>
    <w:p>
      <w:pPr>
        <w:spacing w:before="40" w:after="120"/>
        <w:jc w:val="center"/>
      </w:pPr>
      <w:r>
        <w:rPr>
          <w:rFonts w:ascii="Times New Roman" w:hAnsi="Times New Roman"/>
          <w:b w:val="0"/>
          <w:i/>
          <w:sz w:val="16"/>
        </w:rPr>
        <w:t>TABLE II: Evaluation Results by Intent Class</w:t>
      </w:r>
    </w:p>
    <w:p>
      <w:pPr>
        <w:spacing w:before="140" w:after="60"/>
        <w:jc w:val="left"/>
      </w:pPr>
      <w:r>
        <w:rPr>
          <w:rFonts w:ascii="Times New Roman" w:hAnsi="Times New Roman"/>
          <w:b/>
          <w:i/>
          <w:sz w:val="19"/>
        </w:rPr>
        <w:t>B. Embedding Matcher Contribution</w:t>
      </w:r>
    </w:p>
    <w:p>
      <w:pPr>
        <w:spacing w:before="0" w:after="100"/>
        <w:jc w:val="both"/>
      </w:pPr>
      <w:r>
        <w:rPr>
          <w:rFonts w:ascii="Times New Roman" w:hAnsi="Times New Roman"/>
          <w:b w:val="0"/>
          <w:i w:val="0"/>
          <w:sz w:val="19"/>
        </w:rPr>
        <w:t>The keyword-only baseline got 68.3% SMA and 72.0% EA. The full system: 93.3% and 88.3% — a 25-point jump from one component. Gains concentrated in semantically novel phrasings. Mean cosine similarity for correct matches: 84.7% (±6.1%). For mismatches: 71.2% (±9.3%). A ~78% threshold could flag uncertain matches for fallback handling.</w:t>
      </w:r>
    </w:p>
    <w:p>
      <w:pPr>
        <w:spacing w:before="140" w:after="60"/>
        <w:jc w:val="left"/>
      </w:pPr>
      <w:r>
        <w:rPr>
          <w:rFonts w:ascii="Times New Roman" w:hAnsi="Times New Roman"/>
          <w:b/>
          <w:i/>
          <w:sz w:val="19"/>
        </w:rPr>
        <w:t>C. Latency</w:t>
      </w:r>
    </w:p>
    <w:p>
      <w:pPr>
        <w:spacing w:before="0" w:after="100"/>
        <w:jc w:val="both"/>
      </w:pPr>
      <w:r>
        <w:rPr>
          <w:rFonts w:ascii="Times New Roman" w:hAnsi="Times New Roman"/>
          <w:b w:val="0"/>
          <w:i w:val="0"/>
          <w:sz w:val="19"/>
        </w:rPr>
        <w:t>Mean end-to-end latency: 163 ms (σ=14 ms). Transformer encoding: ~91 ms (56% of total). SQL execution: 3–6 ms. Preprocessing + template fill: under 5 ms. First startup adds ~1.2 s for model loading. 163 ms is below the 200 ms perceptual threshold for interactive applications [21].</w:t>
      </w:r>
    </w:p>
    <w:p>
      <w:pPr>
        <w:spacing w:before="200" w:after="100"/>
        <w:jc w:val="center"/>
      </w:pPr>
      <w:r>
        <w:rPr>
          <w:rFonts w:ascii="Times New Roman" w:hAnsi="Times New Roman"/>
          <w:b/>
          <w:i w:val="0"/>
          <w:sz w:val="20"/>
        </w:rPr>
        <w:t>VI. ERROR ANALYSIS</w:t>
      </w:r>
    </w:p>
    <w:p>
      <w:pPr>
        <w:spacing w:before="0" w:after="100"/>
        <w:jc w:val="both"/>
      </w:pPr>
      <w:r>
        <w:rPr>
          <w:rFonts w:ascii="Times New Roman" w:hAnsi="Times New Roman"/>
          <w:b w:val="0"/>
          <w:i w:val="0"/>
          <w:sz w:val="19"/>
        </w:rPr>
        <w:t>Seven queries failed. Three distinct root causes emerged.</w:t>
      </w:r>
    </w:p>
    <w:p>
      <w:pPr>
        <w:spacing w:before="140" w:after="60"/>
        <w:jc w:val="left"/>
      </w:pPr>
      <w:r>
        <w:rPr>
          <w:rFonts w:ascii="Times New Roman" w:hAnsi="Times New Roman"/>
          <w:b/>
          <w:i/>
          <w:sz w:val="19"/>
        </w:rPr>
        <w:t>A. Cross-Table Join Queries (3 failures)</w:t>
      </w:r>
    </w:p>
    <w:p>
      <w:pPr>
        <w:spacing w:before="0" w:after="100"/>
        <w:jc w:val="both"/>
      </w:pPr>
      <w:r>
        <w:rPr>
          <w:rFonts w:ascii="Times New Roman" w:hAnsi="Times New Roman"/>
          <w:b w:val="0"/>
          <w:i w:val="0"/>
          <w:sz w:val="19"/>
        </w:rPr>
        <w:t>'Which students failed in Deep Learning' requires joining students and marks, then filtering by subject and threshold. The system picks marks correctly but generates a single-table query — no student names returned. The schema matcher worked; the SQL generator has no JOIN template. This is the most significant structural gap.</w:t>
      </w:r>
    </w:p>
    <w:p>
      <w:pPr>
        <w:spacing w:before="140" w:after="60"/>
        <w:jc w:val="left"/>
      </w:pPr>
      <w:r>
        <w:rPr>
          <w:rFonts w:ascii="Times New Roman" w:hAnsi="Times New Roman"/>
          <w:b/>
          <w:i/>
          <w:sz w:val="19"/>
        </w:rPr>
        <w:t>B. Missing Synonyms (2 failures)</w:t>
      </w:r>
    </w:p>
    <w:p>
      <w:pPr>
        <w:spacing w:before="0" w:after="100"/>
        <w:jc w:val="both"/>
      </w:pPr>
      <w:r>
        <w:rPr>
          <w:rFonts w:ascii="Times New Roman" w:hAnsi="Times New Roman"/>
          <w:b w:val="0"/>
          <w:i w:val="0"/>
          <w:sz w:val="19"/>
        </w:rPr>
        <w:t>'Learners with poor scores' failed because 'learners' wasn't in the synonym dictionary. Table matched correctly via embeddings, but column resolution defaulted wrong. Adding 'learners → students' fixes both — maintenance work, not architecture work.</w:t>
      </w:r>
    </w:p>
    <w:p>
      <w:pPr>
        <w:spacing w:before="140" w:after="60"/>
        <w:jc w:val="left"/>
      </w:pPr>
      <w:r>
        <w:rPr>
          <w:rFonts w:ascii="Times New Roman" w:hAnsi="Times New Roman"/>
          <w:b/>
          <w:i/>
          <w:sz w:val="19"/>
        </w:rPr>
        <w:t>C. Numeric Ambiguity (2 failures)</w:t>
      </w:r>
    </w:p>
    <w:p>
      <w:pPr>
        <w:spacing w:before="0" w:after="100"/>
        <w:jc w:val="both"/>
      </w:pPr>
      <w:r>
        <w:rPr>
          <w:rFonts w:ascii="Times New Roman" w:hAnsi="Times New Roman"/>
          <w:b w:val="0"/>
          <w:i w:val="0"/>
          <w:sz w:val="19"/>
        </w:rPr>
        <w:t>'Top 3.5 GPA students' — 3.5 extracted as float, used as LIMIT (truncated to 3), when the user meant WHERE cgpa &gt;= 3.5. The ambiguity is real: is 3.5 a cardinality or a threshold? Needs a disambiguation step checking whether a number plausibly serves as a filter threshold vs. a result count.</w:t>
      </w:r>
    </w:p>
    <w:p>
      <w:pPr>
        <w:spacing w:before="200" w:after="100"/>
        <w:jc w:val="center"/>
      </w:pPr>
      <w:r>
        <w:rPr>
          <w:rFonts w:ascii="Times New Roman" w:hAnsi="Times New Roman"/>
          <w:b/>
          <w:i w:val="0"/>
          <w:sz w:val="20"/>
        </w:rPr>
        <w:t>VII. DISCUSSION</w:t>
      </w:r>
    </w:p>
    <w:p>
      <w:pPr>
        <w:spacing w:before="140" w:after="60"/>
        <w:jc w:val="left"/>
      </w:pPr>
      <w:r>
        <w:rPr>
          <w:rFonts w:ascii="Times New Roman" w:hAnsi="Times New Roman"/>
          <w:b/>
          <w:i/>
          <w:sz w:val="19"/>
        </w:rPr>
        <w:t>A. Templates vs. Generation</w:t>
      </w:r>
    </w:p>
    <w:p>
      <w:pPr>
        <w:spacing w:before="0" w:after="100"/>
        <w:jc w:val="both"/>
      </w:pPr>
      <w:r>
        <w:rPr>
          <w:rFonts w:ascii="Times New Roman" w:hAnsi="Times New Roman"/>
          <w:b w:val="0"/>
          <w:i w:val="0"/>
          <w:sz w:val="19"/>
        </w:rPr>
        <w:t>Every generated SQL is valid by construction; every failure is traceable. After talking to faculty about what they'd actually ask, the answer was mostly: filter by department, rank by CGPA, count by semester, check attendance. Six intent classes cover most of it. A generative model brings enormous capability for a query space that isn't actually that large. Maintenance trade-off favours templates for institution deployments with small teams.</w:t>
      </w:r>
    </w:p>
    <w:p>
      <w:pPr>
        <w:spacing w:before="140" w:after="60"/>
        <w:jc w:val="left"/>
      </w:pPr>
      <w:r>
        <w:rPr>
          <w:rFonts w:ascii="Times New Roman" w:hAnsi="Times New Roman"/>
          <w:b/>
          <w:i/>
          <w:sz w:val="19"/>
        </w:rPr>
        <w:t>B. The Hybrid Design Pattern</w:t>
      </w:r>
    </w:p>
    <w:p>
      <w:pPr>
        <w:spacing w:before="0" w:after="100"/>
        <w:jc w:val="both"/>
      </w:pPr>
      <w:r>
        <w:rPr>
          <w:rFonts w:ascii="Times New Roman" w:hAnsi="Times New Roman"/>
          <w:b w:val="0"/>
          <w:i w:val="0"/>
          <w:sz w:val="19"/>
        </w:rPr>
        <w:t>The transformer handles the single subtask where the challenge is semantic variation over an unbounded vocabulary. Everything else is deterministic. Use learned components where generalisation matters; use deterministic logic where the label space is closed. This pattern appears in retrieval-augmented generation [20] and applies equally here.</w:t>
      </w:r>
    </w:p>
    <w:p>
      <w:pPr>
        <w:spacing w:before="140" w:after="60"/>
        <w:jc w:val="left"/>
      </w:pPr>
      <w:r>
        <w:rPr>
          <w:rFonts w:ascii="Times New Roman" w:hAnsi="Times New Roman"/>
          <w:b/>
          <w:i/>
          <w:sz w:val="19"/>
        </w:rPr>
        <w:t>C. Limitations</w:t>
      </w:r>
    </w:p>
    <w:p>
      <w:pPr>
        <w:spacing w:before="0" w:after="100"/>
        <w:jc w:val="both"/>
      </w:pPr>
      <w:r>
        <w:rPr>
          <w:rFonts w:ascii="Times New Roman" w:hAnsi="Times New Roman"/>
          <w:b w:val="0"/>
          <w:i w:val="0"/>
          <w:sz w:val="19"/>
        </w:rPr>
        <w:t>No JOIN, GROUP BY, HAVING, or subqueries. Synonym dictionary requires manual maintenance. Schema metadata must be authored by hand for any new database. The 60-query evaluation is a proof of concept, not a production benchmark — real query logs would look very different.</w:t>
      </w:r>
    </w:p>
    <w:p>
      <w:pPr>
        <w:spacing w:before="140" w:after="60"/>
        <w:jc w:val="left"/>
      </w:pPr>
      <w:r>
        <w:rPr>
          <w:rFonts w:ascii="Times New Roman" w:hAnsi="Times New Roman"/>
          <w:b/>
          <w:i/>
          <w:sz w:val="19"/>
        </w:rPr>
        <w:t>D. Future Directions</w:t>
      </w:r>
    </w:p>
    <w:p>
      <w:pPr>
        <w:spacing w:before="0" w:after="100"/>
        <w:jc w:val="both"/>
      </w:pPr>
      <w:r>
        <w:rPr>
          <w:rFonts w:ascii="Times New Roman" w:hAnsi="Times New Roman"/>
          <w:b w:val="0"/>
          <w:i w:val="0"/>
          <w:sz w:val="19"/>
        </w:rPr>
        <w:t>(1) JOIN detection: a two-table intent class with foreign-key lookup covers the most impactful failure. (2) Confidence-based routing: queries below a similarity threshold go to a generative fallback. (3) Auto-description: use a lightweight LLM to generate column descriptions from names and sample values, eliminating manual schema authoring.</w:t>
      </w:r>
    </w:p>
    <w:p>
      <w:pPr>
        <w:spacing w:before="200" w:after="100"/>
        <w:jc w:val="center"/>
      </w:pPr>
      <w:r>
        <w:rPr>
          <w:rFonts w:ascii="Times New Roman" w:hAnsi="Times New Roman"/>
          <w:b/>
          <w:i w:val="0"/>
          <w:sz w:val="20"/>
        </w:rPr>
        <w:t>VIII. CONCLUSION</w:t>
      </w:r>
    </w:p>
    <w:p>
      <w:pPr>
        <w:spacing w:before="0" w:after="100"/>
        <w:jc w:val="both"/>
      </w:pPr>
      <w:r>
        <w:rPr>
          <w:rFonts w:ascii="Times New Roman" w:hAnsi="Times New Roman"/>
          <w:b w:val="0"/>
          <w:i w:val="0"/>
          <w:sz w:val="19"/>
        </w:rPr>
        <w:t>NL2SQL demonstrates that a useful natural language database interface doesn't require a billion-parameter model. Combining deterministic intent detection with a compact sentence transformer for schema linking and a small set of SQL templates achieves 88.3% execution accuracy across 60 test queries with 163 ms average latency on CPU hardware. The embedding matcher contributed a 25-point improvement over a keyword-only baseline — confirming dense semantic representations add real value even within a predominantly rule-based pipeline.</w:t>
      </w:r>
    </w:p>
    <w:p>
      <w:pPr>
        <w:spacing w:before="0" w:after="100"/>
        <w:jc w:val="both"/>
      </w:pPr>
      <w:r>
        <w:rPr>
          <w:rFonts w:ascii="Times New Roman" w:hAnsi="Times New Roman"/>
          <w:b w:val="0"/>
          <w:i w:val="0"/>
          <w:sz w:val="19"/>
        </w:rPr>
        <w:t>Three of seven failures came from one missing capability — JOIN generation. The architecture is modular enough to add it without touching other components. For institutions looking to lower the barrier between staff and their data, without the cost and opacity of large generative models, this hybrid approach is worth taking seriously.</w:t>
      </w:r>
    </w:p>
    <w:p>
      <w:pPr>
        <w:spacing w:before="0" w:after="80"/>
        <w:pBdr>
          <w:bottom w:val="single" w:sz="6" w:space="1" w:color="000000"/>
        </w:pBdr>
      </w:pPr>
    </w:p>
    <w:p>
      <w:pPr>
        <w:spacing w:before="200" w:after="100"/>
        <w:jc w:val="center"/>
      </w:pPr>
      <w:r>
        <w:rPr>
          <w:rFonts w:ascii="Times New Roman" w:hAnsi="Times New Roman"/>
          <w:b/>
          <w:i w:val="0"/>
          <w:sz w:val="20"/>
        </w:rPr>
        <w:t>REFERENCES</w:t>
      </w:r>
    </w:p>
    <w:p>
      <w:pPr>
        <w:spacing w:before="0" w:after="60"/>
        <w:ind w:left="283" w:hanging="283"/>
        <w:jc w:val="both"/>
      </w:pPr>
      <w:r>
        <w:rPr>
          <w:rFonts w:ascii="Times New Roman" w:hAnsi="Times New Roman"/>
          <w:b w:val="0"/>
          <w:i w:val="0"/>
          <w:sz w:val="17"/>
        </w:rPr>
        <w:t>[1]  E. F. Codd, "A relational model of data for large shared data banks," Commun. ACM, vol. 13, no. 6, pp. 377–387, 1970.</w:t>
      </w:r>
    </w:p>
    <w:p>
      <w:pPr>
        <w:spacing w:before="0" w:after="60"/>
        <w:ind w:left="283" w:hanging="283"/>
        <w:jc w:val="both"/>
      </w:pPr>
      <w:r>
        <w:rPr>
          <w:rFonts w:ascii="Times New Roman" w:hAnsi="Times New Roman"/>
          <w:b w:val="0"/>
          <w:i w:val="0"/>
          <w:sz w:val="17"/>
        </w:rPr>
        <w:t>[2]  W. A. Woods, R. M. Kaplan, and B. Nash-Webber, "The LUNAR sciences natural language information system," BBN Rep. 2378, 1972.</w:t>
      </w:r>
    </w:p>
    <w:p>
      <w:pPr>
        <w:spacing w:before="0" w:after="60"/>
        <w:ind w:left="283" w:hanging="283"/>
        <w:jc w:val="both"/>
      </w:pPr>
      <w:r>
        <w:rPr>
          <w:rFonts w:ascii="Times New Roman" w:hAnsi="Times New Roman"/>
          <w:b w:val="0"/>
          <w:i w:val="0"/>
          <w:sz w:val="17"/>
        </w:rPr>
        <w:t>[3]  J. Devlin et al., "BERT: Pre-training of deep bidirectional transformers for language understanding," in Proc. NAACL-HLT, 2019, pp. 4171–4186.</w:t>
      </w:r>
    </w:p>
    <w:p>
      <w:pPr>
        <w:spacing w:before="0" w:after="60"/>
        <w:ind w:left="283" w:hanging="283"/>
        <w:jc w:val="both"/>
      </w:pPr>
      <w:r>
        <w:rPr>
          <w:rFonts w:ascii="Times New Roman" w:hAnsi="Times New Roman"/>
          <w:b w:val="0"/>
          <w:i w:val="0"/>
          <w:sz w:val="17"/>
        </w:rPr>
        <w:t>[4]  T. Yu et al., "Spider: A large-scale human-labeled dataset for complex and cross-domain semantic parsing and text-to-SQL," in Proc. EMNLP, 2018, pp. 3911–3921.</w:t>
      </w:r>
    </w:p>
    <w:p>
      <w:pPr>
        <w:spacing w:before="0" w:after="60"/>
        <w:ind w:left="283" w:hanging="283"/>
        <w:jc w:val="both"/>
      </w:pPr>
      <w:r>
        <w:rPr>
          <w:rFonts w:ascii="Times New Roman" w:hAnsi="Times New Roman"/>
          <w:b w:val="0"/>
          <w:i w:val="0"/>
          <w:sz w:val="17"/>
        </w:rPr>
        <w:t>[5]  V. Zhong, C. Xiong, and R. Socher, "Seq2SQL: Generating structured queries from natural language using reinforcement learning," arXiv:1709.00103, 2017.</w:t>
      </w:r>
    </w:p>
    <w:p>
      <w:pPr>
        <w:spacing w:before="0" w:after="60"/>
        <w:ind w:left="283" w:hanging="283"/>
        <w:jc w:val="both"/>
      </w:pPr>
      <w:r>
        <w:rPr>
          <w:rFonts w:ascii="Times New Roman" w:hAnsi="Times New Roman"/>
          <w:b w:val="0"/>
          <w:i w:val="0"/>
          <w:sz w:val="17"/>
        </w:rPr>
        <w:t>[6]  X. Lin, R. Socher, and C. Xiong, "Bridging textual and tabular data for cross-domain text-to-SQL," in Proc. EMNLP Findings, 2020, pp. 4870–4888.</w:t>
      </w:r>
    </w:p>
    <w:p>
      <w:pPr>
        <w:spacing w:before="0" w:after="60"/>
        <w:ind w:left="283" w:hanging="283"/>
        <w:jc w:val="both"/>
      </w:pPr>
      <w:r>
        <w:rPr>
          <w:rFonts w:ascii="Times New Roman" w:hAnsi="Times New Roman"/>
          <w:b w:val="0"/>
          <w:i w:val="0"/>
          <w:sz w:val="17"/>
        </w:rPr>
        <w:t>[7]  B. Wang et al., "RAT-SQL: Relation-aware schema encoding and linking for text-to-SQL," in Proc. ACL, 2020, pp. 7567–7578.</w:t>
      </w:r>
    </w:p>
    <w:p>
      <w:pPr>
        <w:spacing w:before="0" w:after="60"/>
        <w:ind w:left="283" w:hanging="283"/>
        <w:jc w:val="both"/>
      </w:pPr>
      <w:r>
        <w:rPr>
          <w:rFonts w:ascii="Times New Roman" w:hAnsi="Times New Roman"/>
          <w:b w:val="0"/>
          <w:i w:val="0"/>
          <w:sz w:val="17"/>
        </w:rPr>
        <w:t>[8]  D. Gao et al., "Text-to-SQL empowered by large language models: A benchmark evaluation," arXiv:2308.15363, 2023.</w:t>
      </w:r>
    </w:p>
    <w:p>
      <w:pPr>
        <w:spacing w:before="0" w:after="60"/>
        <w:ind w:left="283" w:hanging="283"/>
        <w:jc w:val="both"/>
      </w:pPr>
      <w:r>
        <w:rPr>
          <w:rFonts w:ascii="Times New Roman" w:hAnsi="Times New Roman"/>
          <w:b w:val="0"/>
          <w:i w:val="0"/>
          <w:sz w:val="17"/>
        </w:rPr>
        <w:t>[9]  G. G. Hendrix et al., "Developing a natural language interface to complex data," ACM TODS, vol. 3, no. 2, pp. 105–147, 1978.</w:t>
      </w:r>
    </w:p>
    <w:p>
      <w:pPr>
        <w:spacing w:before="0" w:after="60"/>
        <w:ind w:left="283" w:hanging="283"/>
        <w:jc w:val="both"/>
      </w:pPr>
      <w:r>
        <w:rPr>
          <w:rFonts w:ascii="Times New Roman" w:hAnsi="Times New Roman"/>
          <w:b w:val="0"/>
          <w:i w:val="0"/>
          <w:sz w:val="17"/>
        </w:rPr>
        <w:t>[10] G. G. Hendrix, "Human engineering for applied natural language processing," in Proc. IJCAI, 1977, pp. 183–191.</w:t>
      </w:r>
    </w:p>
    <w:p>
      <w:pPr>
        <w:spacing w:before="0" w:after="60"/>
        <w:ind w:left="283" w:hanging="283"/>
        <w:jc w:val="both"/>
      </w:pPr>
      <w:r>
        <w:rPr>
          <w:rFonts w:ascii="Times New Roman" w:hAnsi="Times New Roman"/>
          <w:b w:val="0"/>
          <w:i w:val="0"/>
          <w:sz w:val="17"/>
        </w:rPr>
        <w:t>[11] F. Li and H. V. Jagadish, "Constructing an interactive natural language interface for relational databases," PVLDB, vol. 8, no. 1, pp. 73–84, 2014.</w:t>
      </w:r>
    </w:p>
    <w:p>
      <w:pPr>
        <w:spacing w:before="0" w:after="60"/>
        <w:ind w:left="283" w:hanging="283"/>
        <w:jc w:val="both"/>
      </w:pPr>
      <w:r>
        <w:rPr>
          <w:rFonts w:ascii="Times New Roman" w:hAnsi="Times New Roman"/>
          <w:b w:val="0"/>
          <w:i w:val="0"/>
          <w:sz w:val="17"/>
        </w:rPr>
        <w:t>[12] J. M. Zelle and R. J. Mooney, "Learning to parse database queries using inductive logic programming," in Proc. AAAI, 1996, pp. 1050–1055.</w:t>
      </w:r>
    </w:p>
    <w:p>
      <w:pPr>
        <w:spacing w:before="0" w:after="60"/>
        <w:ind w:left="283" w:hanging="283"/>
        <w:jc w:val="both"/>
      </w:pPr>
      <w:r>
        <w:rPr>
          <w:rFonts w:ascii="Times New Roman" w:hAnsi="Times New Roman"/>
          <w:b w:val="0"/>
          <w:i w:val="0"/>
          <w:sz w:val="17"/>
        </w:rPr>
        <w:t>[13] R. J. Kate and R. J. Mooney, "Using string-kernels for learning semantic parsers," in Proc. COLING-ACL, 2006, pp. 913–920.</w:t>
      </w:r>
    </w:p>
    <w:p>
      <w:pPr>
        <w:spacing w:before="0" w:after="60"/>
        <w:ind w:left="283" w:hanging="283"/>
        <w:jc w:val="both"/>
      </w:pPr>
      <w:r>
        <w:rPr>
          <w:rFonts w:ascii="Times New Roman" w:hAnsi="Times New Roman"/>
          <w:b w:val="0"/>
          <w:i w:val="0"/>
          <w:sz w:val="17"/>
        </w:rPr>
        <w:t>[14] R. Ge and R. J. Mooney, "A statistical semantic parser that integrates syntax and semantics," in Proc. CoNLL, 2005, pp. 9–16.</w:t>
      </w:r>
    </w:p>
    <w:p>
      <w:pPr>
        <w:spacing w:before="0" w:after="60"/>
        <w:ind w:left="283" w:hanging="283"/>
        <w:jc w:val="both"/>
      </w:pPr>
      <w:r>
        <w:rPr>
          <w:rFonts w:ascii="Times New Roman" w:hAnsi="Times New Roman"/>
          <w:b w:val="0"/>
          <w:i w:val="0"/>
          <w:sz w:val="17"/>
        </w:rPr>
        <w:t>[15] X. Xu, C. Liu, and D. Song, "SQLNet: Generating structured queries from natural language without reinforcement learning," arXiv:1711.04436, 2017.</w:t>
      </w:r>
    </w:p>
    <w:p>
      <w:pPr>
        <w:spacing w:before="0" w:after="60"/>
        <w:ind w:left="283" w:hanging="283"/>
        <w:jc w:val="both"/>
      </w:pPr>
      <w:r>
        <w:rPr>
          <w:rFonts w:ascii="Times New Roman" w:hAnsi="Times New Roman"/>
          <w:b w:val="0"/>
          <w:i w:val="0"/>
          <w:sz w:val="17"/>
        </w:rPr>
        <w:t>[16] J. Guo et al., "Towards complex text-to-SQL in cross-domain database with intermediate representation," in Proc. ACL, 2019, pp. 4524–4535.</w:t>
      </w:r>
    </w:p>
    <w:p>
      <w:pPr>
        <w:spacing w:before="0" w:after="60"/>
        <w:ind w:left="283" w:hanging="283"/>
        <w:jc w:val="both"/>
      </w:pPr>
      <w:r>
        <w:rPr>
          <w:rFonts w:ascii="Times New Roman" w:hAnsi="Times New Roman"/>
          <w:b w:val="0"/>
          <w:i w:val="0"/>
          <w:sz w:val="17"/>
        </w:rPr>
        <w:t>[17] N. Reimers and I. Gurevych, "Sentence-BERT: Sentence embeddings using siamese BERT-networks," in Proc. EMNLP-IJCNLP, 2019, pp. 3982–3992.</w:t>
      </w:r>
    </w:p>
    <w:p>
      <w:pPr>
        <w:spacing w:before="0" w:after="60"/>
        <w:ind w:left="283" w:hanging="283"/>
        <w:jc w:val="both"/>
      </w:pPr>
      <w:r>
        <w:rPr>
          <w:rFonts w:ascii="Times New Roman" w:hAnsi="Times New Roman"/>
          <w:b w:val="0"/>
          <w:i w:val="0"/>
          <w:sz w:val="17"/>
        </w:rPr>
        <w:t>[18] W. Wang et al., "MiniLM: Deep self-attention distillation for task-agnostic compression of pre-trained transformers," NeurIPS, vol. 33, pp. 5776–5788, 2020.</w:t>
      </w:r>
    </w:p>
    <w:p>
      <w:pPr>
        <w:spacing w:before="0" w:after="60"/>
        <w:ind w:left="283" w:hanging="283"/>
        <w:jc w:val="both"/>
      </w:pPr>
      <w:r>
        <w:rPr>
          <w:rFonts w:ascii="Times New Roman" w:hAnsi="Times New Roman"/>
          <w:b w:val="0"/>
          <w:i w:val="0"/>
          <w:sz w:val="17"/>
        </w:rPr>
        <w:t>[19] W. Lei et al., "Re-examining the role of schema linking in text-to-SQL," in Proc. EMNLP, 2020, pp. 6943–6954.</w:t>
      </w:r>
    </w:p>
    <w:p>
      <w:pPr>
        <w:spacing w:before="0" w:after="60"/>
        <w:ind w:left="283" w:hanging="283"/>
        <w:jc w:val="both"/>
      </w:pPr>
      <w:r>
        <w:rPr>
          <w:rFonts w:ascii="Times New Roman" w:hAnsi="Times New Roman"/>
          <w:b w:val="0"/>
          <w:i w:val="0"/>
          <w:sz w:val="17"/>
        </w:rPr>
        <w:t>[20] V. Karpukhin et al., "Dense passage retrieval for open-domain question answering," in Proc. EMNLP, 2020, pp. 6769–6781.</w:t>
      </w:r>
    </w:p>
    <w:p>
      <w:pPr>
        <w:spacing w:before="0" w:after="60"/>
        <w:ind w:left="283" w:hanging="283"/>
        <w:jc w:val="both"/>
      </w:pPr>
      <w:r>
        <w:rPr>
          <w:rFonts w:ascii="Times New Roman" w:hAnsi="Times New Roman"/>
          <w:b w:val="0"/>
          <w:i w:val="0"/>
          <w:sz w:val="17"/>
        </w:rPr>
        <w:t>[21] J. Nielsen, Usability Engineering. Academic Press, 1993.</w:t>
      </w:r>
    </w:p>
    <w:p>
      <w:pPr>
        <w:spacing w:before="0" w:after="60"/>
        <w:ind w:left="283" w:hanging="283"/>
        <w:jc w:val="both"/>
      </w:pPr>
      <w:r>
        <w:rPr>
          <w:rFonts w:ascii="Times New Roman" w:hAnsi="Times New Roman"/>
          <w:b w:val="0"/>
          <w:i w:val="0"/>
          <w:sz w:val="17"/>
        </w:rPr>
        <w:t>[22] T. Formal, B. Piwowarski, and S. Clinchant, "SPLADE: Sparse lexical and expansion model for first stage ranking," in Proc. SIGIR, 2021, pp. 2288–2292.</w:t>
      </w:r>
    </w:p>
    <w:sectPr w:rsidR="00FC693F" w:rsidRPr="0006063C" w:rsidSect="00034616">
      <w:pgSz w:w="11906" w:h="16838"/>
      <w:pgMar w:top="1077" w:right="893" w:bottom="1440" w:left="893"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