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Design (LLD): AI Safety &amp; Architecture Documentation</w:t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Document Header</w:t>
      </w:r>
    </w:p>
    <w:p>
      <w:pPr>
        <w:pStyle w:val="ListBullet"/>
      </w:pPr>
      <w:r>
        <w:t>Project: CuraBot - Agentic AI Differential Diagnosis Tutor</w:t>
      </w:r>
    </w:p>
    <w:p>
      <w:pPr>
        <w:pStyle w:val="ListBullet"/>
      </w:pPr>
      <w:r>
        <w:t>System Name: CuraBot Diagnostic Engine</w:t>
      </w:r>
    </w:p>
    <w:p>
      <w:pPr>
        <w:pStyle w:val="ListBullet"/>
      </w:pPr>
      <w:r>
        <w:t>Environment: Development / Staging / Production</w:t>
      </w:r>
    </w:p>
    <w:p>
      <w:pPr>
        <w:pStyle w:val="ListBullet"/>
      </w:pPr>
      <w:r>
        <w:t>Confidentiality: Confidential - Internal Use Only</w:t>
      </w:r>
    </w:p>
    <w:p>
      <w:pPr>
        <w:pStyle w:val="Heading2"/>
      </w:pPr>
      <w:r>
        <w:t>1.2 Versioning &amp;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 of Changes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Architecture Team</w:t>
            </w:r>
          </w:p>
        </w:tc>
        <w:tc>
          <w:tcPr>
            <w:tcW w:type="dxa" w:w="1728"/>
          </w:tcPr>
          <w:p>
            <w:r>
              <w:t>Initial draft for AI safety and LLD structure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v0.2</w:t>
            </w:r>
          </w:p>
        </w:tc>
        <w:tc>
          <w:tcPr>
            <w:tcW w:type="dxa" w:w="1728"/>
          </w:tcPr>
          <w:p>
            <w:r>
              <w:t>Security Lead</w:t>
            </w:r>
          </w:p>
        </w:tc>
        <w:tc>
          <w:tcPr>
            <w:tcW w:type="dxa" w:w="1728"/>
          </w:tcPr>
          <w:p>
            <w:r>
              <w:t>Added Threat Model and Data Sensitivity details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Project Sponsor</w:t>
            </w:r>
          </w:p>
        </w:tc>
        <w:tc>
          <w:tcPr>
            <w:tcW w:type="dxa" w:w="1728"/>
          </w:tcPr>
          <w:p>
            <w:r>
              <w:t>Final approval and sign-off</w:t>
            </w:r>
          </w:p>
        </w:tc>
        <w:tc>
          <w:tcPr>
            <w:tcW w:type="dxa" w:w="1728"/>
          </w:tcPr>
          <w:p>
            <w:r>
              <w:t>2026-04-23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</w:tbl>
    <w:p>
      <w:pPr>
        <w:pStyle w:val="Heading2"/>
      </w:pPr>
      <w:r>
        <w:t>1.3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Evidence/Link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Lead Architect</w:t>
            </w:r>
          </w:p>
        </w:tc>
        <w:tc>
          <w:tcPr>
            <w:tcW w:type="dxa" w:w="2160"/>
          </w:tcPr>
          <w:p>
            <w:r>
              <w:t>Architecture Review Board (ARB)</w:t>
            </w:r>
          </w:p>
        </w:tc>
        <w:tc>
          <w:tcPr>
            <w:tcW w:type="dxa" w:w="2160"/>
          </w:tcPr>
          <w:p>
            <w:r>
              <w:t>ADR List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Security Lead</w:t>
            </w:r>
          </w:p>
        </w:tc>
        <w:tc>
          <w:tcPr>
            <w:tcW w:type="dxa" w:w="2160"/>
          </w:tcPr>
          <w:p>
            <w:r>
              <w:t>CISO Delegate</w:t>
            </w:r>
          </w:p>
        </w:tc>
        <w:tc>
          <w:tcPr>
            <w:tcW w:type="dxa" w:w="2160"/>
          </w:tcPr>
          <w:p>
            <w:r>
              <w:t>System Threat Model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Compliance SME</w:t>
            </w:r>
          </w:p>
        </w:tc>
        <w:tc>
          <w:tcPr>
            <w:tcW w:type="dxa" w:w="2160"/>
          </w:tcPr>
          <w:p>
            <w:r>
              <w:t>Compliance Board / AIRB</w:t>
            </w:r>
          </w:p>
        </w:tc>
        <w:tc>
          <w:tcPr>
            <w:tcW w:type="dxa" w:w="2160"/>
          </w:tcPr>
          <w:p>
            <w:r>
              <w:t>Policy &amp; Regulatory Checklist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VP of Product</w:t>
            </w:r>
          </w:p>
        </w:tc>
        <w:tc>
          <w:tcPr>
            <w:tcW w:type="dxa" w:w="2160"/>
          </w:tcPr>
          <w:p>
            <w:r>
              <w:t>Business Requirements Document (BRD)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Lead DevOps Engineer</w:t>
            </w:r>
          </w:p>
        </w:tc>
        <w:tc>
          <w:tcPr>
            <w:tcW w:type="dxa" w:w="2160"/>
          </w:tcPr>
          <w:p>
            <w:r>
              <w:t>Head of Operations</w:t>
            </w:r>
          </w:p>
        </w:tc>
        <w:tc>
          <w:tcPr>
            <w:tcW w:type="dxa" w:w="2160"/>
          </w:tcPr>
          <w:p>
            <w:r>
              <w:t>Deployment &amp; Test Plan</w:t>
            </w:r>
          </w:p>
        </w:tc>
      </w:tr>
    </w:tbl>
    <w:p>
      <w:pPr>
        <w:pStyle w:val="Heading2"/>
      </w:pPr>
      <w:r>
        <w:t>1.4 AI Safety Classification &amp; Data Handling</w:t>
      </w:r>
    </w:p>
    <w:p>
      <w:r>
        <w:rPr>
          <w:b/>
        </w:rPr>
        <w:t xml:space="preserve">AI Safety Classification: </w:t>
      </w:r>
      <w:r>
        <w:t>Non-Regulated (Medical Education Use Only). (Note: Should the system ever transition to real patient data, this will be escalated to Regulated/High-Risk).</w:t>
      </w:r>
    </w:p>
    <w:p>
      <w:r>
        <w:rPr>
          <w:b/>
        </w:rPr>
        <w:t xml:space="preserve">Data Sensitivity Summary: </w:t>
      </w:r>
      <w:r>
        <w:t>The system currently processes simulated patient cases. It handles Simulated PHI/PII. Strict data sanitization pipelines are in place to ensure no real patient data is ingested or retained.</w:t>
      </w:r>
    </w:p>
    <w:p>
      <w:pPr>
        <w:pStyle w:val="Heading2"/>
      </w:pPr>
      <w:r>
        <w:t>1.5 AI Autonomy Level</w:t>
      </w:r>
    </w:p>
    <w:p>
      <w:r>
        <w:rPr>
          <w:b/>
        </w:rPr>
        <w:t xml:space="preserve">Current Autonomy Level: </w:t>
      </w:r>
      <w:r>
        <w:t>L3 (Supervised Agent)</w:t>
      </w:r>
    </w:p>
    <w:p>
      <w:r>
        <w:rPr>
          <w:b/>
        </w:rPr>
        <w:t xml:space="preserve">Action Paradigm: </w:t>
      </w:r>
      <w:r>
        <w:t>Recommend-Only</w:t>
      </w:r>
    </w:p>
    <w:p>
      <w:r>
        <w:rPr>
          <w:b/>
        </w:rPr>
        <w:t xml:space="preserve">Description: </w:t>
      </w:r>
      <w:r>
        <w:t>The AI generates hypotheses, evaluates evidence, and provides differential diagnoses for educational purposes. It operates strictly in a "recommendation" capacity and does not execute clinical actions, prescribe treatments, or act without explicit human oversight and approval.</w:t>
      </w:r>
    </w:p>
    <w:p>
      <w:pPr>
        <w:pStyle w:val="Heading2"/>
      </w:pPr>
      <w:r>
        <w:t>1.6 Key Reference Artifacts</w:t>
      </w:r>
    </w:p>
    <w:p>
      <w:pPr>
        <w:pStyle w:val="ListBullet"/>
      </w:pPr>
      <w:r>
        <w:t>Business Requirements Document (BRD)</w:t>
      </w:r>
    </w:p>
    <w:p>
      <w:pPr>
        <w:pStyle w:val="ListBullet"/>
      </w:pPr>
      <w:r>
        <w:t>High-Level Design (HLD)</w:t>
      </w:r>
    </w:p>
    <w:p>
      <w:pPr>
        <w:pStyle w:val="ListBullet"/>
      </w:pPr>
      <w:r>
        <w:t>Architecture Decision Records (ADRs)</w:t>
      </w:r>
    </w:p>
    <w:p>
      <w:pPr>
        <w:pStyle w:val="ListBullet"/>
      </w:pPr>
      <w:r>
        <w:t>Threat Model &amp; Security Assessment</w:t>
      </w:r>
    </w:p>
    <w:p>
      <w:pPr>
        <w:pStyle w:val="ListBullet"/>
      </w:pPr>
      <w:r>
        <w:t>Quality Assurance &amp; Test Plan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Business Context and Stakeholders</w:t>
      </w:r>
    </w:p>
    <w:p>
      <w:r>
        <w:t>The CuraBot Diagnostic Engine is designed to teach clinical reasoning concepts to medical professionals and students through simulated agentic workflows.</w:t>
      </w:r>
    </w:p>
    <w:p>
      <w:r>
        <w:rPr>
          <w:b/>
        </w:rPr>
        <w:t>Primary Personas:</w:t>
      </w:r>
    </w:p>
    <w:p>
      <w:pPr>
        <w:pStyle w:val="ListBullet2"/>
      </w:pPr>
      <w:r>
        <w:t>Medical Students (Primary Users)</w:t>
      </w:r>
    </w:p>
    <w:p>
      <w:pPr>
        <w:pStyle w:val="ListBullet2"/>
      </w:pPr>
      <w:r>
        <w:t>Clinical Instructors / Educators (Curriculum Designers)</w:t>
      </w:r>
    </w:p>
    <w:p>
      <w:pPr>
        <w:pStyle w:val="ListBullet2"/>
      </w:pPr>
      <w:r>
        <w:t>System Administrators</w:t>
      </w:r>
    </w:p>
    <w:p>
      <w:r>
        <w:rPr>
          <w:b/>
        </w:rPr>
        <w:t xml:space="preserve">Consuming Teams: </w:t>
      </w:r>
      <w:r>
        <w:t>University Medical Programs, Corporate Medical Training Departments.</w:t>
      </w:r>
    </w:p>
    <w:p>
      <w:pPr>
        <w:pStyle w:val="Heading2"/>
      </w:pPr>
      <w:r>
        <w:t>2.2 Problem Statement</w:t>
      </w:r>
    </w:p>
    <w:p>
      <w:r>
        <w:t>Medical education requires extensive, scalable, and personalized feedback on clinical reasoning to prevent diagnostic errors.</w:t>
      </w:r>
    </w:p>
    <w:p>
      <w:r>
        <w:rPr>
          <w:b/>
        </w:rPr>
        <w:t>Pain Points:</w:t>
      </w:r>
    </w:p>
    <w:p>
      <w:pPr>
        <w:pStyle w:val="ListBullet2"/>
      </w:pPr>
      <w:r>
        <w:t>High latency in receiving instructor feedback on simulated cases.</w:t>
      </w:r>
    </w:p>
    <w:p>
      <w:pPr>
        <w:pStyle w:val="ListBullet2"/>
      </w:pPr>
      <w:r>
        <w:t>Significant manual effort required by instructors to design and monitor dynamic patient scenarios.</w:t>
      </w:r>
    </w:p>
    <w:p>
      <w:pPr>
        <w:pStyle w:val="ListBullet2"/>
      </w:pPr>
      <w:r>
        <w:t>Difficulty in consistently identifying and correcting cognitive biases (e.g., anchoring bias, premature closure) during the learning process.</w:t>
      </w:r>
    </w:p>
    <w:p>
      <w:pPr>
        <w:pStyle w:val="Heading2"/>
      </w:pPr>
      <w:r>
        <w:t>2.3 Scope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Included (In-Scope)</w:t>
            </w:r>
          </w:p>
        </w:tc>
        <w:tc>
          <w:tcPr>
            <w:tcW w:type="dxa" w:w="2880"/>
          </w:tcPr>
          <w:p>
            <w:r>
              <w:t>Excluded (Out-of-Scope)</w:t>
            </w:r>
          </w:p>
        </w:tc>
      </w:tr>
      <w:tr>
        <w:tc>
          <w:tcPr>
            <w:tcW w:type="dxa" w:w="2880"/>
          </w:tcPr>
          <w:p>
            <w:r>
              <w:t>User Journeys</w:t>
            </w:r>
          </w:p>
        </w:tc>
        <w:tc>
          <w:tcPr>
            <w:tcW w:type="dxa" w:w="2880"/>
          </w:tcPr>
          <w:p>
            <w:r>
              <w:t>- Conducting simulated multi-stage diagnostic interviews (Max 10 turns).</w:t>
              <w:br/>
              <w:t>- Tracking supporting/contradicting evidence.</w:t>
              <w:br/>
              <w:t>- Real-time cognitive bias detection &amp; feedback.</w:t>
            </w:r>
          </w:p>
        </w:tc>
        <w:tc>
          <w:tcPr>
            <w:tcW w:type="dxa" w:w="2880"/>
          </w:tcPr>
          <w:p>
            <w:r>
              <w:t>- Actual clinical diagnosis or treatment planning for real patients.</w:t>
              <w:br/>
              <w:t>- Autonomous prescription generation.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- 15 standardized Clinical SOPs.</w:t>
              <w:br/>
              <w:t>- Gemini LLM integration for reasoning.</w:t>
            </w:r>
          </w:p>
        </w:tc>
        <w:tc>
          <w:tcPr>
            <w:tcW w:type="dxa" w:w="2880"/>
          </w:tcPr>
          <w:p>
            <w:r>
              <w:t>- Integration with live EHR/EMR systems.</w:t>
              <w:br/>
              <w:t>- Direct ingestion of real-world patient charts.</w:t>
            </w:r>
          </w:p>
        </w:tc>
      </w:tr>
    </w:tbl>
    <w:p>
      <w:pPr>
        <w:pStyle w:val="Heading2"/>
      </w:pPr>
      <w:r>
        <w:t>2.4 Success Metrics and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Metric / KPI</w:t>
            </w:r>
          </w:p>
        </w:tc>
        <w:tc>
          <w:tcPr>
            <w:tcW w:type="dxa" w:w="2880"/>
          </w:tcPr>
          <w:p>
            <w:r>
              <w:t>Baseline Approach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Reduction in cognitive bias occurrences during simulated cases.</w:t>
            </w:r>
          </w:p>
        </w:tc>
        <w:tc>
          <w:tcPr>
            <w:tcW w:type="dxa" w:w="2880"/>
          </w:tcPr>
          <w:p>
            <w:r>
              <w:t>Track bias flags per session over a student's semester.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Agent response latency (Symptom to Hypothesis generation).</w:t>
            </w:r>
          </w:p>
        </w:tc>
        <w:tc>
          <w:tcPr>
            <w:tcW w:type="dxa" w:w="2880"/>
          </w:tcPr>
          <w:p>
            <w:r>
              <w:t>Maintain end-to-end response time under &lt; 2.5 seconds.</w:t>
            </w:r>
          </w:p>
        </w:tc>
      </w:tr>
      <w:tr>
        <w:tc>
          <w:tcPr>
            <w:tcW w:type="dxa" w:w="2880"/>
          </w:tcPr>
          <w:p>
            <w:r>
              <w:t>Cost / Effort</w:t>
            </w:r>
          </w:p>
        </w:tc>
        <w:tc>
          <w:tcPr>
            <w:tcW w:type="dxa" w:w="2880"/>
          </w:tcPr>
          <w:p>
            <w:r>
              <w:t>Reduction in instructor hours per simulated case creation.</w:t>
            </w:r>
          </w:p>
        </w:tc>
        <w:tc>
          <w:tcPr>
            <w:tcW w:type="dxa" w:w="2880"/>
          </w:tcPr>
          <w:p>
            <w:r>
              <w:t>Measure time spent building vs. CuraBot scenarios.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100% adherence to Medical Education disclaimers.</w:t>
            </w:r>
          </w:p>
        </w:tc>
        <w:tc>
          <w:tcPr>
            <w:tcW w:type="dxa" w:w="2880"/>
          </w:tcPr>
          <w:p>
            <w:r>
              <w:t>Automated pre-flight checks on all UI rendering components.</w:t>
            </w:r>
          </w:p>
        </w:tc>
      </w:tr>
    </w:tbl>
    <w:p>
      <w:pPr>
        <w:pStyle w:val="Heading2"/>
      </w:pPr>
      <w:r>
        <w:t>2.5 Assumptions and Constraints</w:t>
      </w:r>
    </w:p>
    <w:p>
      <w:r>
        <w:rPr>
          <w:b/>
        </w:rPr>
        <w:t>Assumptions:</w:t>
      </w:r>
    </w:p>
    <w:p>
      <w:pPr>
        <w:pStyle w:val="ListBullet2"/>
      </w:pPr>
      <w:r>
        <w:t>Users are authenticated and understand the purely educational nature of the platform.</w:t>
      </w:r>
    </w:p>
    <w:p>
      <w:pPr>
        <w:pStyle w:val="ListBullet2"/>
      </w:pPr>
      <w:r>
        <w:t>The underlying LLM (Gemini) maintains consistent reasoning capabilities without sudden API deprecations.</w:t>
      </w:r>
    </w:p>
    <w:p>
      <w:r>
        <w:rPr>
          <w:b/>
        </w:rPr>
        <w:t>Constraints:</w:t>
      </w:r>
    </w:p>
    <w:p>
      <w:pPr>
        <w:pStyle w:val="ListBullet2"/>
      </w:pPr>
      <w:r>
        <w:t>Strict limitation to a maximum of 10 interaction turns per diagnostic session to control API costs and prevent hallucination drift.</w:t>
      </w:r>
    </w:p>
    <w:p>
      <w:pPr>
        <w:pStyle w:val="ListBullet2"/>
      </w:pPr>
      <w:r>
        <w:t>System must gracefully fallback if the LLM provider experiences downtime or throttling.</w:t>
      </w:r>
    </w:p>
    <w:p>
      <w:pPr>
        <w:pStyle w:val="Heading2"/>
      </w:pPr>
      <w:r>
        <w:t>2.6 AI Autonomy Level Target</w:t>
      </w:r>
    </w:p>
    <w:p>
      <w:pPr>
        <w:pStyle w:val="ListBullet"/>
      </w:pPr>
      <w:r>
        <w:t>Current Target: L1 Assistant transitioning to L3 Supervised Agent (Recommend-Only).</w:t>
      </w:r>
    </w:p>
    <w:p>
      <w:pPr>
        <w:pStyle w:val="ListBullet"/>
      </w:pPr>
      <w:r>
        <w:t>Future Considerations: The system is explicitly designed not to exceed L3 autonomy to comply with safety guardrails regarding medical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