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Design (LLD): Agentic AI Applications</w:t>
      </w:r>
    </w:p>
    <w:p>
      <w:r>
        <w:t>Project: CuraBot - Agentic AI Differential Diagnosis Tutor</w:t>
      </w:r>
    </w:p>
    <w:p>
      <w:pPr>
        <w:pStyle w:val="Heading1"/>
      </w:pPr>
      <w:r>
        <w:t>1. Document Control &amp; Metadata</w:t>
      </w:r>
    </w:p>
    <w:p>
      <w:pPr>
        <w:pStyle w:val="Heading2"/>
      </w:pPr>
      <w:r>
        <w:t>1.1 Document Header</w:t>
      </w:r>
    </w:p>
    <w:p>
      <w:pPr>
        <w:pStyle w:val="ListBullet"/>
      </w:pPr>
      <w:r>
        <w:t>Project: CuraBot - Agentic AI Differential Diagnosis Tutor</w:t>
      </w:r>
    </w:p>
    <w:p>
      <w:pPr>
        <w:pStyle w:val="ListBullet"/>
      </w:pPr>
      <w:r>
        <w:t>System Name: CuraBot Diagnostic Engine</w:t>
      </w:r>
    </w:p>
    <w:p>
      <w:pPr>
        <w:pStyle w:val="ListBullet"/>
      </w:pPr>
      <w:r>
        <w:t>Environment: Development / Staging / Production</w:t>
      </w:r>
    </w:p>
    <w:p>
      <w:pPr>
        <w:pStyle w:val="ListBullet"/>
      </w:pPr>
      <w:r>
        <w:t>Confidentiality: Confidential - Internal Use Only</w:t>
      </w:r>
    </w:p>
    <w:p>
      <w:pPr>
        <w:pStyle w:val="Heading2"/>
      </w:pPr>
      <w:r>
        <w:t>1.2 Versioning &amp;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 of Changes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v0.1</w:t>
            </w:r>
          </w:p>
        </w:tc>
        <w:tc>
          <w:tcPr>
            <w:tcW w:type="dxa" w:w="1728"/>
          </w:tcPr>
          <w:p>
            <w:r>
              <w:t>Architecture Team</w:t>
            </w:r>
          </w:p>
        </w:tc>
        <w:tc>
          <w:tcPr>
            <w:tcW w:type="dxa" w:w="1728"/>
          </w:tcPr>
          <w:p>
            <w:r>
              <w:t>Initial draft for AI safety and LLD structure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Project Sponsor</w:t>
            </w:r>
          </w:p>
        </w:tc>
        <w:tc>
          <w:tcPr>
            <w:tcW w:type="dxa" w:w="1728"/>
          </w:tcPr>
          <w:p>
            <w:r>
              <w:t>Final complete documentation covering all 13 sections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</w:tbl>
    <w:p>
      <w:pPr>
        <w:pStyle w:val="Heading2"/>
      </w:pPr>
      <w:r>
        <w:t>1.3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Evidence/Link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Lead Architect</w:t>
            </w:r>
          </w:p>
        </w:tc>
        <w:tc>
          <w:tcPr>
            <w:tcW w:type="dxa" w:w="2160"/>
          </w:tcPr>
          <w:p>
            <w:r>
              <w:t>ARB/TRB</w:t>
            </w:r>
          </w:p>
        </w:tc>
        <w:tc>
          <w:tcPr>
            <w:tcW w:type="dxa" w:w="2160"/>
          </w:tcPr>
          <w:p>
            <w:r>
              <w:t>[ADR list](#)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Security Lead</w:t>
            </w:r>
          </w:p>
        </w:tc>
        <w:tc>
          <w:tcPr>
            <w:tcW w:type="dxa" w:w="2160"/>
          </w:tcPr>
          <w:p>
            <w:r>
              <w:t>CISO delegate</w:t>
            </w:r>
          </w:p>
        </w:tc>
        <w:tc>
          <w:tcPr>
            <w:tcW w:type="dxa" w:w="2160"/>
          </w:tcPr>
          <w:p>
            <w:r>
              <w:t>[Threat model](#)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Compliance SME</w:t>
            </w:r>
          </w:p>
        </w:tc>
        <w:tc>
          <w:tcPr>
            <w:tcW w:type="dxa" w:w="2160"/>
          </w:tcPr>
          <w:p>
            <w:r>
              <w:t>AIRB/Compliance board</w:t>
            </w:r>
          </w:p>
        </w:tc>
        <w:tc>
          <w:tcPr>
            <w:tcW w:type="dxa" w:w="2160"/>
          </w:tcPr>
          <w:p>
            <w:r>
              <w:t>[Policy checklist](#)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VP of Product</w:t>
            </w:r>
          </w:p>
        </w:tc>
        <w:tc>
          <w:tcPr>
            <w:tcW w:type="dxa" w:w="2160"/>
          </w:tcPr>
          <w:p>
            <w:r>
              <w:t>[BRD](#)</w:t>
            </w:r>
          </w:p>
        </w:tc>
      </w:tr>
    </w:tbl>
    <w:p>
      <w:pPr>
        <w:pStyle w:val="Heading2"/>
      </w:pPr>
      <w:r>
        <w:t>1.4 AI Safety Classification &amp; Data Handling</w:t>
      </w:r>
    </w:p>
    <w:p>
      <w:pPr>
        <w:pStyle w:val="ListBullet"/>
      </w:pPr>
      <w:r>
        <w:t>Classification: Non-Regulated (Medical Education Use Only)</w:t>
      </w:r>
    </w:p>
    <w:p>
      <w:pPr>
        <w:pStyle w:val="ListBullet"/>
      </w:pPr>
      <w:r>
        <w:t>Data Sensitivity: Handles Simulated PHI/PII for educational patient scenarios. However, the underlying knowledge base is built on real-world, medically validated data for 275 diseases sourced directly from clinical studies and authoritative medical websites. No real patient profiles are ingested.</w:t>
      </w:r>
    </w:p>
    <w:p>
      <w:pPr>
        <w:pStyle w:val="Heading2"/>
      </w:pPr>
      <w:r>
        <w:t>1.5 AI Autonomy Level</w:t>
      </w:r>
    </w:p>
    <w:p>
      <w:pPr>
        <w:pStyle w:val="ListBullet"/>
      </w:pPr>
      <w:r>
        <w:t>Target: L3 Supervised Agent (Recommend-Only). The AI cannot execute final clinical actions or prescribe treatments without human instructor approval.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Business Context and Stakeholders</w:t>
      </w:r>
    </w:p>
    <w:p>
      <w:pPr>
        <w:pStyle w:val="ListBullet"/>
      </w:pPr>
      <w:r>
        <w:t>Primary Personas: Medical Students (Users), Clinical Instructors (Curriculum Designers).</w:t>
      </w:r>
    </w:p>
    <w:p>
      <w:pPr>
        <w:pStyle w:val="ListBullet"/>
      </w:pPr>
      <w:r>
        <w:t>Consuming Teams: University Medical Programs.</w:t>
      </w:r>
    </w:p>
    <w:p>
      <w:pPr>
        <w:pStyle w:val="Heading2"/>
      </w:pPr>
      <w:r>
        <w:t>2.2 Problem Statement</w:t>
      </w:r>
    </w:p>
    <w:p>
      <w:pPr>
        <w:pStyle w:val="ListBullet"/>
      </w:pPr>
      <w:r>
        <w:t>Pain: High latency in instructor feedback, manual effort required to design patient cases, difficulty catching cognitive biases (anchoring, premature closure) during diagnostic training.</w:t>
      </w:r>
    </w:p>
    <w:p>
      <w:pPr>
        <w:pStyle w:val="Heading2"/>
      </w:pPr>
      <w:r>
        <w:t>2.3 Scope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In-Scope</w:t>
            </w:r>
          </w:p>
        </w:tc>
        <w:tc>
          <w:tcPr>
            <w:tcW w:type="dxa" w:w="2880"/>
          </w:tcPr>
          <w:p>
            <w:r>
              <w:t>Out-of-Scope (Explicit Non-Goals)</w:t>
            </w:r>
          </w:p>
        </w:tc>
      </w:tr>
      <w:tr>
        <w:tc>
          <w:tcPr>
            <w:tcW w:type="dxa" w:w="2880"/>
          </w:tcPr>
          <w:p>
            <w:r>
              <w:t>Journeys</w:t>
            </w:r>
          </w:p>
        </w:tc>
        <w:tc>
          <w:tcPr>
            <w:tcW w:type="dxa" w:w="2880"/>
          </w:tcPr>
          <w:p>
            <w:r>
              <w:t>Simulated diagnostic interviews, real-time bias detection, 15 core Clinical SOPs.</w:t>
            </w:r>
          </w:p>
        </w:tc>
        <w:tc>
          <w:tcPr>
            <w:tcW w:type="dxa" w:w="2880"/>
          </w:tcPr>
          <w:p>
            <w:r>
              <w:t>Actual clinical diagnosis for real patients, autonomous prescription generation.</w:t>
            </w:r>
          </w:p>
        </w:tc>
      </w:tr>
    </w:tbl>
    <w:p>
      <w:pPr>
        <w:pStyle w:val="Heading2"/>
      </w:pPr>
      <w:r>
        <w:t>2.4 Success Metrics &amp; KPIs</w:t>
      </w:r>
    </w:p>
    <w:p>
      <w:pPr>
        <w:pStyle w:val="ListBullet"/>
      </w:pPr>
      <w:r>
        <w:t>Quality: Reduction in cognitive bias occurrences during simulated cases.</w:t>
      </w:r>
    </w:p>
    <w:p>
      <w:pPr>
        <w:pStyle w:val="ListBullet"/>
      </w:pPr>
      <w:r>
        <w:t>Time: Real-time agentic response latency (&lt; 2.5 seconds).</w:t>
      </w:r>
    </w:p>
    <w:p>
      <w:pPr>
        <w:pStyle w:val="ListBullet"/>
      </w:pPr>
      <w:r>
        <w:t>Cost: Reduction in instructor hours per simulated case creation.</w:t>
      </w:r>
    </w:p>
    <w:p>
      <w:pPr>
        <w:pStyle w:val="Heading2"/>
      </w:pPr>
      <w:r>
        <w:t>2.5 Assumptions &amp; Constraints</w:t>
      </w:r>
    </w:p>
    <w:p>
      <w:pPr>
        <w:pStyle w:val="ListBullet"/>
      </w:pPr>
      <w:r>
        <w:t>Assumptions: Users understand the purely educational nature.</w:t>
      </w:r>
    </w:p>
    <w:p>
      <w:pPr>
        <w:pStyle w:val="ListBullet"/>
      </w:pPr>
      <w:r>
        <w:t>Constraints: Strict 10-turn interaction limit to control LLM cost and drift.</w:t>
      </w:r>
    </w:p>
    <w:p>
      <w:pPr>
        <w:pStyle w:val="Heading1"/>
      </w:pPr>
      <w:r>
        <w:t>3. Architecture Decomposition</w:t>
      </w:r>
    </w:p>
    <w:p>
      <w:pPr>
        <w:pStyle w:val="Heading2"/>
      </w:pPr>
      <w:r>
        <w:t>3.1 C4 Context Diagram</w:t>
      </w:r>
    </w:p>
    <w:p>
      <w:r>
        <w:t>The CuraBot Diagnostic Engine sits between the Medical Student UI, the Gemini LLM Gateway, and the Medical Knowledge Base (Vector DB).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diagram_17768719486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C4 Container &amp; Components</w:t>
      </w:r>
    </w:p>
    <w:p>
      <w:pPr>
        <w:pStyle w:val="ListBullet"/>
      </w:pPr>
      <w:r>
        <w:t>UI: React 18.2 Dashboard (Glassmorphism UI).</w:t>
      </w:r>
    </w:p>
    <w:p>
      <w:pPr>
        <w:pStyle w:val="ListBullet"/>
      </w:pPr>
      <w:r>
        <w:t>API Gateway: FastAPI Gateway handling auth and rate-limiting.</w:t>
      </w:r>
    </w:p>
    <w:p>
      <w:pPr>
        <w:pStyle w:val="ListBullet"/>
      </w:pPr>
      <w:r>
        <w:t>Orchestrator: Python backend managing agent state and 10-turn limits.</w:t>
      </w:r>
    </w:p>
    <w:p>
      <w:pPr>
        <w:pStyle w:val="ListBullet"/>
      </w:pPr>
      <w:r>
        <w:t>Agent Runtime: LangChain/Custom agent execution environment.</w:t>
      </w:r>
    </w:p>
    <w:p>
      <w:pPr>
        <w:pStyle w:val="ListBullet"/>
      </w:pPr>
      <w:r>
        <w:t>Data Stores: ChromaDB/Pinecone for Vector Retrieval, Supabase for logging.</w:t>
      </w:r>
    </w:p>
    <w:p>
      <w:pPr>
        <w:pStyle w:val="Heading2"/>
      </w:pPr>
      <w:r>
        <w:t>3.3 Deployment Topology</w:t>
      </w:r>
    </w:p>
    <w:p>
      <w:r>
        <w:t>The system is deployed in a secure Kubernetes cluster with private endpoints separating the LLM gateway.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opology_17768719691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GenAI Capability Design</w:t>
      </w:r>
    </w:p>
    <w:p>
      <w:pPr>
        <w:pStyle w:val="Heading2"/>
      </w:pPr>
      <w:r>
        <w:t>4.1 RAG Pipeline Flow</w:t>
      </w:r>
    </w:p>
    <w:p>
      <w:pPr>
        <w:pStyle w:val="ListBullet"/>
      </w:pPr>
      <w:r>
        <w:t>Approach: Vector-RAG with Metadata filtering (hybrid).</w:t>
      </w:r>
    </w:p>
    <w:p>
      <w:pPr>
        <w:pStyle w:val="ListBullet"/>
      </w:pPr>
      <w:r>
        <w:t>Pipeline: Ingest Medical SOPs → Chunk by logical section → Embed using standard text-embedding models → Vector Index → Retrieve top-K → Generate Answer → Validate Schema.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_flow_1776871989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Guardrails &amp; Confidence Scoring</w:t>
      </w:r>
    </w:p>
    <w:p>
      <w:pPr>
        <w:pStyle w:val="ListBullet"/>
      </w:pPr>
      <w:r>
        <w:t>Grounding Policy: "Answer only from retrieved evidence."</w:t>
      </w:r>
    </w:p>
    <w:p>
      <w:pPr>
        <w:pStyle w:val="ListBullet"/>
      </w:pPr>
      <w:r>
        <w:t>Guardrails: Prompt-injection mitigation via standard system prompts; output validation strictly enforcing JSON schemas for agent outputs.</w:t>
      </w:r>
    </w:p>
    <w:p>
      <w:pPr>
        <w:pStyle w:val="Heading1"/>
      </w:pPr>
      <w:r>
        <w:t>5. Agentic Design</w:t>
      </w:r>
    </w:p>
    <w:p>
      <w:pPr>
        <w:pStyle w:val="Heading2"/>
      </w:pPr>
      <w:r>
        <w:t>5.1 Agent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Agent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Inputs</w:t>
            </w:r>
          </w:p>
        </w:tc>
        <w:tc>
          <w:tcPr>
            <w:tcW w:type="dxa" w:w="1440"/>
          </w:tcPr>
          <w:p>
            <w:r>
              <w:t>Outputs</w:t>
            </w:r>
          </w:p>
        </w:tc>
        <w:tc>
          <w:tcPr>
            <w:tcW w:type="dxa" w:w="1440"/>
          </w:tcPr>
          <w:p>
            <w:r>
              <w:t>Tools Allowed</w:t>
            </w:r>
          </w:p>
        </w:tc>
        <w:tc>
          <w:tcPr>
            <w:tcW w:type="dxa" w:w="1440"/>
          </w:tcPr>
          <w:p>
            <w:r>
              <w:t>Cannot Do</w:t>
            </w:r>
          </w:p>
        </w:tc>
      </w:tr>
      <w:tr>
        <w:tc>
          <w:tcPr>
            <w:tcW w:type="dxa" w:w="1440"/>
          </w:tcPr>
          <w:p>
            <w:r>
              <w:t>Symptom Normalizer</w:t>
            </w:r>
          </w:p>
        </w:tc>
        <w:tc>
          <w:tcPr>
            <w:tcW w:type="dxa" w:w="1440"/>
          </w:tcPr>
          <w:p>
            <w:r>
              <w:t>Utility</w:t>
            </w:r>
          </w:p>
        </w:tc>
        <w:tc>
          <w:tcPr>
            <w:tcW w:type="dxa" w:w="1440"/>
          </w:tcPr>
          <w:p>
            <w:r>
              <w:t>Raw text</w:t>
            </w:r>
          </w:p>
        </w:tc>
        <w:tc>
          <w:tcPr>
            <w:tcW w:type="dxa" w:w="1440"/>
          </w:tcPr>
          <w:p>
            <w:r>
              <w:t>Standardized medical terms</w:t>
            </w:r>
          </w:p>
        </w:tc>
        <w:tc>
          <w:tcPr>
            <w:tcW w:type="dxa" w:w="1440"/>
          </w:tcPr>
          <w:p>
            <w:r>
              <w:t>SNOMED mapping</w:t>
            </w:r>
          </w:p>
        </w:tc>
        <w:tc>
          <w:tcPr>
            <w:tcW w:type="dxa" w:w="1440"/>
          </w:tcPr>
          <w:p>
            <w:r>
              <w:t>No diagnosis</w:t>
            </w:r>
          </w:p>
        </w:tc>
      </w:tr>
      <w:tr>
        <w:tc>
          <w:tcPr>
            <w:tcW w:type="dxa" w:w="1440"/>
          </w:tcPr>
          <w:p>
            <w:r>
              <w:t>Hypothesis Generator</w:t>
            </w:r>
          </w:p>
        </w:tc>
        <w:tc>
          <w:tcPr>
            <w:tcW w:type="dxa" w:w="1440"/>
          </w:tcPr>
          <w:p>
            <w:r>
              <w:t>Specialist</w:t>
            </w:r>
          </w:p>
        </w:tc>
        <w:tc>
          <w:tcPr>
            <w:tcW w:type="dxa" w:w="1440"/>
          </w:tcPr>
          <w:p>
            <w:r>
              <w:t>Symptoms</w:t>
            </w:r>
          </w:p>
        </w:tc>
        <w:tc>
          <w:tcPr>
            <w:tcW w:type="dxa" w:w="1440"/>
          </w:tcPr>
          <w:p>
            <w:r>
              <w:t>Differential Diagnosis list</w:t>
            </w:r>
          </w:p>
        </w:tc>
        <w:tc>
          <w:tcPr>
            <w:tcW w:type="dxa" w:w="1440"/>
          </w:tcPr>
          <w:p>
            <w:r>
              <w:t>Vector Search</w:t>
            </w:r>
          </w:p>
        </w:tc>
        <w:tc>
          <w:tcPr>
            <w:tcW w:type="dxa" w:w="1440"/>
          </w:tcPr>
          <w:p>
            <w:r>
              <w:t>No treatment</w:t>
            </w:r>
          </w:p>
        </w:tc>
      </w:tr>
      <w:tr>
        <w:tc>
          <w:tcPr>
            <w:tcW w:type="dxa" w:w="1440"/>
          </w:tcPr>
          <w:p>
            <w:r>
              <w:t>Evidence Evaluator</w:t>
            </w:r>
          </w:p>
        </w:tc>
        <w:tc>
          <w:tcPr>
            <w:tcW w:type="dxa" w:w="1440"/>
          </w:tcPr>
          <w:p>
            <w:r>
              <w:t>Governance</w:t>
            </w:r>
          </w:p>
        </w:tc>
        <w:tc>
          <w:tcPr>
            <w:tcW w:type="dxa" w:w="1440"/>
          </w:tcPr>
          <w:p>
            <w:r>
              <w:t>Hypotheses + new data</w:t>
            </w:r>
          </w:p>
        </w:tc>
        <w:tc>
          <w:tcPr>
            <w:tcW w:type="dxa" w:w="1440"/>
          </w:tcPr>
          <w:p>
            <w:r>
              <w:t>Updated Bayesian weights</w:t>
            </w:r>
          </w:p>
        </w:tc>
        <w:tc>
          <w:tcPr>
            <w:tcW w:type="dxa" w:w="1440"/>
          </w:tcPr>
          <w:p>
            <w:r>
              <w:t>Evidence validation</w:t>
            </w:r>
          </w:p>
        </w:tc>
        <w:tc>
          <w:tcPr>
            <w:tcW w:type="dxa" w:w="1440"/>
          </w:tcPr>
          <w:p>
            <w:r>
              <w:t>No final action</w:t>
            </w:r>
          </w:p>
        </w:tc>
      </w:tr>
    </w:tbl>
    <w:p>
      <w:pPr>
        <w:pStyle w:val="Heading2"/>
      </w:pPr>
      <w:r>
        <w:t>5.2 Orchestration Graph</w:t>
      </w:r>
    </w:p>
    <w:p>
      <w:r>
        <w:t>The orchestrator dictates the workflow graph, coordinating specialist agents through human-in-the-loop checkpoints.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orchestration_17768720050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Data &amp; Knowledge Fabric</w:t>
      </w:r>
    </w:p>
    <w:p>
      <w:pPr>
        <w:pStyle w:val="ListBullet"/>
      </w:pPr>
      <w:r>
        <w:t>Sources: 15 Standardized Clinical SOPs, and a medically validated Knowledge Base containing real-world symptom and diagnostic data for 275 distinct diseases, sourced from verified medical websites and clinical studies.</w:t>
      </w:r>
    </w:p>
    <w:p>
      <w:pPr>
        <w:pStyle w:val="ListBullet"/>
      </w:pPr>
      <w:r>
        <w:t>Ingestion: Extract → Normalize → Chunk → Embed → Index.</w:t>
      </w:r>
    </w:p>
    <w:p>
      <w:pPr>
        <w:pStyle w:val="ListBullet"/>
      </w:pPr>
      <w:r>
        <w:t>Caching: Semantic cache for common medical queries; TTL set to 24 hours.</w:t>
      </w:r>
    </w:p>
    <w:p>
      <w:pPr>
        <w:pStyle w:val="ListBullet"/>
      </w:pPr>
      <w:r>
        <w:t>Retention Policies: Strictly no retention of actual PHI; simulated logs retained for 30 days for instructor review.</w:t>
      </w:r>
    </w:p>
    <w:p>
      <w:pPr>
        <w:pStyle w:val="Heading1"/>
      </w:pPr>
      <w:r>
        <w:t>7. API &amp; Service Design</w:t>
      </w:r>
    </w:p>
    <w:p>
      <w:pPr>
        <w:pStyle w:val="ListBullet"/>
      </w:pPr>
      <w:r>
        <w:t>API Gateway: Centralized routing.</w:t>
      </w:r>
    </w:p>
    <w:p>
      <w:pPr>
        <w:pStyle w:val="ListBullet"/>
      </w:pPr>
      <w:r>
        <w:t>Endpoints:</w:t>
      </w:r>
    </w:p>
    <w:p>
      <w:pPr>
        <w:pStyle w:val="ListBullet"/>
      </w:pPr>
      <w:r>
        <w:t>`POST /api/v1/chat` (Must-have): Sends user message, returns agent thought streams.</w:t>
      </w:r>
    </w:p>
    <w:p>
      <w:pPr>
        <w:pStyle w:val="ListBullet"/>
      </w:pPr>
      <w:r>
        <w:t>`GET /api/v1/case/{id}` (Must-have): Retrieves specific scenario data.</w:t>
      </w:r>
    </w:p>
    <w:p>
      <w:pPr>
        <w:pStyle w:val="ListBullet"/>
      </w:pPr>
      <w:r>
        <w:t>Error Handling: Retries/backoff for LLM API timeouts; graceful degradation with fallback to cached "standard" responses.</w:t>
      </w:r>
    </w:p>
    <w:p>
      <w:pPr>
        <w:pStyle w:val="Heading1"/>
      </w:pPr>
      <w:r>
        <w:t>8. Security &amp; Governance</w:t>
      </w:r>
    </w:p>
    <w:p>
      <w:pPr>
        <w:pStyle w:val="ListBullet"/>
      </w:pPr>
      <w:r>
        <w:t>LLM Gateway: All calls route through a single secure gateway applying policy-as-code.</w:t>
      </w:r>
    </w:p>
    <w:p>
      <w:pPr>
        <w:pStyle w:val="ListBullet"/>
      </w:pPr>
      <w:r>
        <w:t>RBAC: Medical Students (read/interact), Instructors (write scenarios), Admin (system config).</w:t>
      </w:r>
    </w:p>
    <w:p>
      <w:pPr>
        <w:pStyle w:val="ListBullet"/>
      </w:pPr>
      <w:r>
        <w:t>Audit Trails: Complete retention of prompts, retrieved chunks, and final outputs in a secure log schema.</w:t>
      </w:r>
    </w:p>
    <w:p>
      <w:pPr>
        <w:pStyle w:val="ListBullet"/>
      </w:pPr>
      <w:r>
        <w:t>FinOps: Token usage monitoring with hard caps at 10 turns per session.</w:t>
      </w:r>
    </w:p>
    <w:p>
      <w:pPr>
        <w:pStyle w:val="Heading1"/>
      </w:pPr>
      <w:r>
        <w:t>9. Non-Functional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Performance (Latency)</w:t>
            </w:r>
          </w:p>
        </w:tc>
        <w:tc>
          <w:tcPr>
            <w:tcW w:type="dxa" w:w="2880"/>
          </w:tcPr>
          <w:p>
            <w:r>
              <w:t>p95 &lt; 2.5s</w:t>
            </w:r>
          </w:p>
        </w:tc>
        <w:tc>
          <w:tcPr>
            <w:tcW w:type="dxa" w:w="2880"/>
          </w:tcPr>
          <w:p>
            <w:r>
              <w:t>Time from query to first generated token.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HPA</w:t>
            </w:r>
          </w:p>
        </w:tc>
        <w:tc>
          <w:tcPr>
            <w:tcW w:type="dxa" w:w="2880"/>
          </w:tcPr>
          <w:p>
            <w:r>
              <w:t>Horizontal Pod Autoscaling based on queue depth.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Multi-zone failover within the region.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Zero-Trust</w:t>
            </w:r>
          </w:p>
        </w:tc>
        <w:tc>
          <w:tcPr>
            <w:tcW w:type="dxa" w:w="2880"/>
          </w:tcPr>
          <w:p>
            <w:r>
              <w:t>Secret rotation every 30 days, regular vulnerability scanning.</w:t>
            </w:r>
          </w:p>
        </w:tc>
      </w:tr>
    </w:tbl>
    <w:p>
      <w:pPr>
        <w:pStyle w:val="Heading1"/>
      </w:pPr>
      <w:r>
        <w:t>10. Observability &amp; Evaluation</w:t>
      </w:r>
    </w:p>
    <w:p>
      <w:pPr>
        <w:pStyle w:val="ListBullet"/>
      </w:pPr>
      <w:r>
        <w:t>Telemetry: Enforced end-to-end correlation IDs tracing a student's session across all agent nodes.</w:t>
      </w:r>
    </w:p>
    <w:p>
      <w:pPr>
        <w:pStyle w:val="ListBullet"/>
      </w:pPr>
      <w:r>
        <w:t>RAG Evaluation: Offline harness testing precision/recall of the top-5 retrieved medical SOPs.</w:t>
      </w:r>
    </w:p>
    <w:p>
      <w:pPr>
        <w:pStyle w:val="ListBullet"/>
      </w:pPr>
      <w:r>
        <w:t>Dashboards: Monitoring latency, API cost/tokens, and safety flag overrides.</w:t>
      </w:r>
    </w:p>
    <w:p>
      <w:pPr>
        <w:pStyle w:val="ListBullet"/>
      </w:pPr>
      <w:r>
        <w:t>A/B Testing: Canary rollout for new System Prompt versions.</w:t>
      </w:r>
    </w:p>
    <w:p>
      <w:pPr>
        <w:pStyle w:val="Heading1"/>
      </w:pPr>
      <w:r>
        <w:t>11. SDLC Integration</w:t>
      </w:r>
    </w:p>
    <w:p>
      <w:pPr>
        <w:pStyle w:val="ListBullet"/>
      </w:pPr>
      <w:r>
        <w:t>CI/CD Stages: Lint → Test → Security Scan → Build → Deploy → AI Regression Test.</w:t>
      </w:r>
    </w:p>
    <w:p>
      <w:pPr>
        <w:pStyle w:val="ListBullet"/>
      </w:pPr>
      <w:r>
        <w:t>Quality Gates: Prompt validation and policy compliance before merge.</w:t>
      </w:r>
    </w:p>
    <w:p>
      <w:pPr>
        <w:pStyle w:val="ListBullet"/>
      </w:pPr>
      <w:r>
        <w:t>Drift Detection: Triggering documentation updates via webhooks when Agent definitions change.</w:t>
      </w:r>
    </w:p>
    <w:p>
      <w:pPr>
        <w:pStyle w:val="ListBullet"/>
      </w:pPr>
      <w:r>
        <w:t>Release Governance: Clear rollback runbooks; kill-switch defaults agents to "recommend-only".</w:t>
      </w:r>
    </w:p>
    <w:p>
      <w:pPr>
        <w:pStyle w:val="Heading1"/>
      </w:pPr>
      <w:r>
        <w:t>12. Risks &amp; Failure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Detection Signal</w:t>
            </w:r>
          </w:p>
        </w:tc>
        <w:tc>
          <w:tcPr>
            <w:tcW w:type="dxa" w:w="2880"/>
          </w:tcPr>
          <w:p>
            <w:r>
              <w:t>Mitigation / Fallback</w:t>
            </w:r>
          </w:p>
        </w:tc>
      </w:tr>
      <w:tr>
        <w:tc>
          <w:tcPr>
            <w:tcW w:type="dxa" w:w="2880"/>
          </w:tcPr>
          <w:p>
            <w:r>
              <w:t>Hallucination</w:t>
            </w:r>
          </w:p>
        </w:tc>
        <w:tc>
          <w:tcPr>
            <w:tcW w:type="dxa" w:w="2880"/>
          </w:tcPr>
          <w:p>
            <w:r>
              <w:t>Low generation confidence</w:t>
            </w:r>
          </w:p>
        </w:tc>
        <w:tc>
          <w:tcPr>
            <w:tcW w:type="dxa" w:w="2880"/>
          </w:tcPr>
          <w:p>
            <w:r>
              <w:t>Grounding policy; fallback to deterministic rules.</w:t>
            </w:r>
          </w:p>
        </w:tc>
      </w:tr>
      <w:tr>
        <w:tc>
          <w:tcPr>
            <w:tcW w:type="dxa" w:w="2880"/>
          </w:tcPr>
          <w:p>
            <w:r>
              <w:t>Prompt Injection</w:t>
            </w:r>
          </w:p>
        </w:tc>
        <w:tc>
          <w:tcPr>
            <w:tcW w:type="dxa" w:w="2880"/>
          </w:tcPr>
          <w:p>
            <w:r>
              <w:t>Policy violation spike</w:t>
            </w:r>
          </w:p>
        </w:tc>
        <w:tc>
          <w:tcPr>
            <w:tcW w:type="dxa" w:w="2880"/>
          </w:tcPr>
          <w:p>
            <w:r>
              <w:t>Safe refusal; disable tool access temporarily.</w:t>
            </w:r>
          </w:p>
        </w:tc>
      </w:tr>
      <w:tr>
        <w:tc>
          <w:tcPr>
            <w:tcW w:type="dxa" w:w="2880"/>
          </w:tcPr>
          <w:p>
            <w:r>
              <w:t>Cost Spikes</w:t>
            </w:r>
          </w:p>
        </w:tc>
        <w:tc>
          <w:tcPr>
            <w:tcW w:type="dxa" w:w="2880"/>
          </w:tcPr>
          <w:p>
            <w:r>
              <w:t>FinOps alert</w:t>
            </w:r>
          </w:p>
        </w:tc>
        <w:tc>
          <w:tcPr>
            <w:tcW w:type="dxa" w:w="2880"/>
          </w:tcPr>
          <w:p>
            <w:r>
              <w:t>Hard cap on tokens; disable complex agents, use simpler models.</w:t>
            </w:r>
          </w:p>
        </w:tc>
      </w:tr>
    </w:tbl>
    <w:p>
      <w:pPr>
        <w:pStyle w:val="Heading1"/>
      </w:pPr>
      <w:r>
        <w:t>13. Appendix</w:t>
      </w:r>
    </w:p>
    <w:p>
      <w:pPr>
        <w:pStyle w:val="ListBullet"/>
      </w:pPr>
      <w:r>
        <w:t>Reference Diagrams: [C4 Context Diagram](#31-c4-context-diagram), [Deployment Topology](#33-deployment-topology).</w:t>
      </w:r>
    </w:p>
    <w:p>
      <w:pPr>
        <w:pStyle w:val="ListBullet"/>
      </w:pPr>
      <w:r>
        <w:t>Glossary:</w:t>
      </w:r>
    </w:p>
    <w:p>
      <w:pPr>
        <w:pStyle w:val="ListBullet"/>
      </w:pPr>
      <w:r>
        <w:t>*SOP:* Standard Operating Procedure</w:t>
      </w:r>
    </w:p>
    <w:p>
      <w:pPr>
        <w:pStyle w:val="ListBullet"/>
      </w:pPr>
      <w:r>
        <w:t>*PHI:* Protected Health Information</w:t>
      </w:r>
    </w:p>
    <w:p>
      <w:pPr>
        <w:pStyle w:val="ListBullet"/>
      </w:pPr>
      <w:r>
        <w:t>*LLM:* Large Language Model</w:t>
      </w:r>
    </w:p>
    <w:p>
      <w:pPr>
        <w:pStyle w:val="ListBullet"/>
      </w:pPr>
      <w:r>
        <w:t>*RAG:* Retrieval-Augmented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