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72F14">
      <w:pPr>
        <w:spacing w:before="0" w:after="60"/>
        <w:jc w:val="center"/>
      </w:pPr>
      <w:r>
        <w:rPr>
          <w:rFonts w:ascii="Calibri" w:hAnsi="Calibri" w:eastAsia="Calibri" w:cs="Calibri"/>
          <w:b/>
          <w:bCs/>
          <w:i w:val="0"/>
          <w:iCs w:val="0"/>
          <w:color w:val="1F2937"/>
          <w:sz w:val="36"/>
          <w:szCs w:val="36"/>
        </w:rPr>
        <w:t>JOSEPH INBARAJ SANTHIYAGU</w:t>
      </w:r>
    </w:p>
    <w:p w14:paraId="168D5786">
      <w:pPr>
        <w:spacing w:before="0" w:after="40"/>
        <w:jc w:val="center"/>
      </w:pPr>
      <w:r>
        <w:rPr>
          <w:rFonts w:ascii="Calibri" w:hAnsi="Calibri" w:eastAsia="Calibri" w:cs="Calibri"/>
          <w:b w:val="0"/>
          <w:bCs w:val="0"/>
          <w:i w:val="0"/>
          <w:iCs w:val="0"/>
          <w:color w:val="1A56A0"/>
          <w:sz w:val="22"/>
          <w:szCs w:val="22"/>
        </w:rPr>
        <w:t>Principal AI Security Architect  |  Cloud, GenAI &amp; Enterprise Security Leader</w:t>
      </w:r>
    </w:p>
    <w:p w14:paraId="1A9114F1">
      <w:pPr>
        <w:spacing w:before="0" w:after="160"/>
        <w:jc w:val="center"/>
      </w:pPr>
      <w:r>
        <w:rPr>
          <w:rFonts w:hint="default" w:cs="Calibri"/>
          <w:b w:val="0"/>
          <w:bCs w:val="0"/>
          <w:i w:val="0"/>
          <w:iCs w:val="0"/>
          <w:color w:val="6B7280"/>
          <w:sz w:val="18"/>
          <w:szCs w:val="18"/>
          <w:lang w:val="en-GB"/>
        </w:rPr>
        <w:t>Chennai, India</w:t>
      </w:r>
      <w:r>
        <w:rPr>
          <w:rFonts w:ascii="Calibri" w:hAnsi="Calibri" w:eastAsia="Calibri" w:cs="Calibri"/>
          <w:b w:val="0"/>
          <w:bCs w:val="0"/>
          <w:i w:val="0"/>
          <w:iCs w:val="0"/>
          <w:color w:val="6B7280"/>
          <w:sz w:val="18"/>
          <w:szCs w:val="18"/>
        </w:rPr>
        <w:t xml:space="preserve">  •  </w:t>
      </w:r>
      <w:r>
        <w:rPr>
          <w:rFonts w:hint="default" w:cs="Calibri"/>
          <w:b w:val="0"/>
          <w:bCs w:val="0"/>
          <w:i w:val="0"/>
          <w:iCs w:val="0"/>
          <w:color w:val="6B7280"/>
          <w:sz w:val="18"/>
          <w:szCs w:val="18"/>
          <w:lang w:val="en-GB"/>
        </w:rPr>
        <w:t>awsjoseph1977@outlook.com</w:t>
      </w:r>
      <w:r>
        <w:rPr>
          <w:rFonts w:ascii="Calibri" w:hAnsi="Calibri" w:eastAsia="Calibri" w:cs="Calibri"/>
          <w:b w:val="0"/>
          <w:bCs w:val="0"/>
          <w:i w:val="0"/>
          <w:iCs w:val="0"/>
          <w:color w:val="6B7280"/>
          <w:sz w:val="18"/>
          <w:szCs w:val="18"/>
        </w:rPr>
        <w:t xml:space="preserve">  •  +91 </w:t>
      </w:r>
      <w:r>
        <w:rPr>
          <w:rFonts w:hint="default" w:cs="Calibri"/>
          <w:b w:val="0"/>
          <w:bCs w:val="0"/>
          <w:i w:val="0"/>
          <w:iCs w:val="0"/>
          <w:color w:val="6B7280"/>
          <w:sz w:val="18"/>
          <w:szCs w:val="18"/>
          <w:lang w:val="en-GB"/>
        </w:rPr>
        <w:t>8555985222</w:t>
      </w:r>
      <w:bookmarkStart w:id="0" w:name="_GoBack"/>
      <w:bookmarkEnd w:id="0"/>
      <w:r>
        <w:rPr>
          <w:rFonts w:ascii="Calibri" w:hAnsi="Calibri" w:eastAsia="Calibri" w:cs="Calibri"/>
          <w:b w:val="0"/>
          <w:bCs w:val="0"/>
          <w:i w:val="0"/>
          <w:iCs w:val="0"/>
          <w:color w:val="6B7280"/>
          <w:sz w:val="18"/>
          <w:szCs w:val="18"/>
        </w:rPr>
        <w:t xml:space="preserve">  •  linkedin.com/in/josephinbaraj</w:t>
      </w:r>
    </w:p>
    <w:p w14:paraId="3E23125E">
      <w:pPr>
        <w:pBdr>
          <w:bottom w:val="single" w:color="1A56A0" w:sz="6" w:space="4"/>
        </w:pBdr>
        <w:spacing w:before="160" w:after="40"/>
        <w:jc w:val="left"/>
      </w:pPr>
      <w:r>
        <w:rPr>
          <w:rFonts w:ascii="Calibri" w:hAnsi="Calibri" w:eastAsia="Calibri" w:cs="Calibri"/>
          <w:b/>
          <w:bCs/>
          <w:i w:val="0"/>
          <w:iCs w:val="0"/>
          <w:color w:val="1A56A0"/>
          <w:sz w:val="20"/>
          <w:szCs w:val="20"/>
        </w:rPr>
        <w:t>EXECUTIVE SUMMARY</w:t>
      </w:r>
    </w:p>
    <w:p w14:paraId="74A63ED1">
      <w:pPr>
        <w:spacing w:before="60" w:after="80" w:line="276" w:lineRule="auto"/>
        <w:jc w:val="left"/>
      </w:pPr>
      <w:r>
        <w:rPr>
          <w:rFonts w:ascii="Calibri" w:hAnsi="Calibri" w:eastAsia="Calibri" w:cs="Calibri"/>
          <w:b w:val="0"/>
          <w:bCs w:val="0"/>
          <w:i w:val="0"/>
          <w:iCs w:val="0"/>
          <w:color w:val="1F2937"/>
          <w:sz w:val="20"/>
          <w:szCs w:val="20"/>
        </w:rPr>
        <w:t>Principal AI Security Architect with 20+ years of experience designing and securing enterprise-scale AI/ML and GenAI systems across banking, energy, semiconductor, and technology sectors. Expert in LLM security, adversarial AI, secure AI lifecycle management, and governance aligned with ISO 42001, NIST AI RMF, and EU AI Act. Proven track record delivering AI security programs across Azure, AWS, and GCP at global enterprises including Wipro (Shell), NXP Semiconductors, Aramco Digital, and CPX.</w:t>
      </w:r>
    </w:p>
    <w:p w14:paraId="2C217932">
      <w:pPr>
        <w:pBdr>
          <w:bottom w:val="single" w:color="1A56A0" w:sz="6" w:space="4"/>
        </w:pBdr>
        <w:spacing w:before="160" w:after="40"/>
        <w:jc w:val="left"/>
      </w:pPr>
      <w:r>
        <w:rPr>
          <w:rFonts w:ascii="Calibri" w:hAnsi="Calibri" w:eastAsia="Calibri" w:cs="Calibri"/>
          <w:b/>
          <w:bCs/>
          <w:i w:val="0"/>
          <w:iCs w:val="0"/>
          <w:color w:val="1A56A0"/>
          <w:sz w:val="20"/>
          <w:szCs w:val="20"/>
        </w:rPr>
        <w:t>AI SECURITY ARCHITECTURE HIGHLIGHTS</w:t>
      </w:r>
    </w:p>
    <w:p w14:paraId="1A2F47B8">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Designed secure LLM/GenAI architectures with prompt injection defenses, output validation, and RAG security controls</w:t>
      </w:r>
      <w:r>
        <w:rPr>
          <w:rFonts w:hint="default" w:cs="Calibri"/>
          <w:b w:val="0"/>
          <w:bCs w:val="0"/>
          <w:i w:val="0"/>
          <w:iCs w:val="0"/>
          <w:color w:val="1F2937"/>
          <w:sz w:val="20"/>
          <w:szCs w:val="20"/>
          <w:lang w:val="en-GB"/>
        </w:rPr>
        <w:t>.</w:t>
      </w:r>
    </w:p>
    <w:p w14:paraId="74D2ADDF">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Built AI Zero Trust Architecture with identity-aware access controls across multi-cloud environments</w:t>
      </w:r>
      <w:r>
        <w:rPr>
          <w:rFonts w:hint="default" w:cs="Calibri"/>
          <w:b w:val="0"/>
          <w:bCs w:val="0"/>
          <w:i w:val="0"/>
          <w:iCs w:val="0"/>
          <w:color w:val="1F2937"/>
          <w:sz w:val="20"/>
          <w:szCs w:val="20"/>
          <w:lang w:val="en-GB"/>
        </w:rPr>
        <w:t>.</w:t>
      </w:r>
    </w:p>
    <w:p w14:paraId="777C18B9">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Implemented MITRE ATLAS-based AI threat modeling across enterprise AI product portfolios</w:t>
      </w:r>
      <w:r>
        <w:rPr>
          <w:rFonts w:hint="default" w:cs="Calibri"/>
          <w:b w:val="0"/>
          <w:bCs w:val="0"/>
          <w:i w:val="0"/>
          <w:iCs w:val="0"/>
          <w:color w:val="1F2937"/>
          <w:sz w:val="20"/>
          <w:szCs w:val="20"/>
          <w:lang w:val="en-GB"/>
        </w:rPr>
        <w:t>.</w:t>
      </w:r>
    </w:p>
    <w:p w14:paraId="2E1274E6">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Architected Secure AI Development Lifecycle (SAIDL) from data ingestion through model inference and deployment</w:t>
      </w:r>
      <w:r>
        <w:rPr>
          <w:rFonts w:hint="default" w:cs="Calibri"/>
          <w:b w:val="0"/>
          <w:bCs w:val="0"/>
          <w:i w:val="0"/>
          <w:iCs w:val="0"/>
          <w:color w:val="1F2937"/>
          <w:sz w:val="20"/>
          <w:szCs w:val="20"/>
          <w:lang w:val="en-GB"/>
        </w:rPr>
        <w:t>.</w:t>
      </w:r>
    </w:p>
    <w:p w14:paraId="3B2EAB1F">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Led AI red teaming exercises using PyRIT, Garak, and Counterfit against production LLM systems</w:t>
      </w:r>
      <w:r>
        <w:rPr>
          <w:rFonts w:hint="default" w:cs="Calibri"/>
          <w:b w:val="0"/>
          <w:bCs w:val="0"/>
          <w:i w:val="0"/>
          <w:iCs w:val="0"/>
          <w:color w:val="1F2937"/>
          <w:sz w:val="20"/>
          <w:szCs w:val="20"/>
          <w:lang w:val="en-GB"/>
        </w:rPr>
        <w:t>.</w:t>
      </w:r>
    </w:p>
    <w:p w14:paraId="3B0C05CE">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Assessed 50+ AI/ML models for adversarial risk, bias, and data poisoning vulnerabilities</w:t>
      </w:r>
      <w:r>
        <w:rPr>
          <w:rFonts w:hint="default" w:cs="Calibri"/>
          <w:b w:val="0"/>
          <w:bCs w:val="0"/>
          <w:i w:val="0"/>
          <w:iCs w:val="0"/>
          <w:color w:val="1F2937"/>
          <w:sz w:val="20"/>
          <w:szCs w:val="20"/>
          <w:lang w:val="en-GB"/>
        </w:rPr>
        <w:t>.</w:t>
      </w:r>
    </w:p>
    <w:p w14:paraId="1EDE4B9D">
      <w:pPr>
        <w:pBdr>
          <w:bottom w:val="single" w:color="1A56A0" w:sz="6" w:space="4"/>
        </w:pBdr>
        <w:spacing w:before="160" w:after="40"/>
        <w:jc w:val="left"/>
      </w:pPr>
      <w:r>
        <w:rPr>
          <w:rFonts w:ascii="Calibri" w:hAnsi="Calibri" w:eastAsia="Calibri" w:cs="Calibri"/>
          <w:b/>
          <w:bCs/>
          <w:i w:val="0"/>
          <w:iCs w:val="0"/>
          <w:color w:val="1A56A0"/>
          <w:sz w:val="20"/>
          <w:szCs w:val="20"/>
        </w:rPr>
        <w:t>CORE EXPERTISE</w:t>
      </w:r>
    </w:p>
    <w:p w14:paraId="45CBAF86">
      <w:pPr>
        <w:spacing w:before="40" w:after="20"/>
        <w:jc w:val="left"/>
        <w:rPr>
          <w:rFonts w:hint="default"/>
          <w:lang w:val="en-GB"/>
        </w:rPr>
      </w:pPr>
      <w:r>
        <w:rPr>
          <w:rFonts w:ascii="Calibri" w:hAnsi="Calibri" w:eastAsia="Calibri" w:cs="Calibri"/>
          <w:b/>
          <w:bCs/>
          <w:i w:val="0"/>
          <w:iCs w:val="0"/>
          <w:color w:val="1F2937"/>
          <w:sz w:val="20"/>
          <w:szCs w:val="20"/>
        </w:rPr>
        <w:t xml:space="preserve">Adversarial ML &amp; AI Attack Vectors:  </w:t>
      </w:r>
      <w:r>
        <w:rPr>
          <w:rFonts w:ascii="Calibri" w:hAnsi="Calibri" w:eastAsia="Calibri" w:cs="Calibri"/>
          <w:b w:val="0"/>
          <w:bCs w:val="0"/>
          <w:i w:val="0"/>
          <w:iCs w:val="0"/>
          <w:color w:val="1F2937"/>
          <w:sz w:val="20"/>
          <w:szCs w:val="20"/>
        </w:rPr>
        <w:t>Poisoning, evasion, model inversion, membership inference, adversarial examples</w:t>
      </w:r>
      <w:r>
        <w:rPr>
          <w:rFonts w:hint="default" w:cs="Calibri"/>
          <w:b w:val="0"/>
          <w:bCs w:val="0"/>
          <w:i w:val="0"/>
          <w:iCs w:val="0"/>
          <w:color w:val="1F2937"/>
          <w:sz w:val="20"/>
          <w:szCs w:val="20"/>
          <w:lang w:val="en-GB"/>
        </w:rPr>
        <w:t>.</w:t>
      </w:r>
    </w:p>
    <w:p w14:paraId="19A23504">
      <w:pPr>
        <w:spacing w:before="20" w:after="20"/>
        <w:jc w:val="left"/>
        <w:rPr>
          <w:rFonts w:hint="default"/>
          <w:lang w:val="en-GB"/>
        </w:rPr>
      </w:pPr>
      <w:r>
        <w:rPr>
          <w:rFonts w:ascii="Calibri" w:hAnsi="Calibri" w:eastAsia="Calibri" w:cs="Calibri"/>
          <w:b/>
          <w:bCs/>
          <w:i w:val="0"/>
          <w:iCs w:val="0"/>
          <w:color w:val="1F2937"/>
          <w:sz w:val="20"/>
          <w:szCs w:val="20"/>
        </w:rPr>
        <w:t xml:space="preserve">LLM &amp; GenAI Security:  </w:t>
      </w:r>
      <w:r>
        <w:rPr>
          <w:rFonts w:ascii="Calibri" w:hAnsi="Calibri" w:eastAsia="Calibri" w:cs="Calibri"/>
          <w:b w:val="0"/>
          <w:bCs w:val="0"/>
          <w:i w:val="0"/>
          <w:iCs w:val="0"/>
          <w:color w:val="1F2937"/>
          <w:sz w:val="20"/>
          <w:szCs w:val="20"/>
        </w:rPr>
        <w:t>Prompt injection, jailbreaking, RAG pipeline security, agent/tool security, hallucination controls</w:t>
      </w:r>
      <w:r>
        <w:rPr>
          <w:rFonts w:hint="default" w:cs="Calibri"/>
          <w:b w:val="0"/>
          <w:bCs w:val="0"/>
          <w:i w:val="0"/>
          <w:iCs w:val="0"/>
          <w:color w:val="1F2937"/>
          <w:sz w:val="20"/>
          <w:szCs w:val="20"/>
          <w:lang w:val="en-GB"/>
        </w:rPr>
        <w:t>.</w:t>
      </w:r>
    </w:p>
    <w:p w14:paraId="0FF4CDCC">
      <w:pPr>
        <w:spacing w:before="20" w:after="20"/>
        <w:jc w:val="left"/>
        <w:rPr>
          <w:rFonts w:hint="default"/>
          <w:lang w:val="en-GB"/>
        </w:rPr>
      </w:pPr>
      <w:r>
        <w:rPr>
          <w:rFonts w:ascii="Calibri" w:hAnsi="Calibri" w:eastAsia="Calibri" w:cs="Calibri"/>
          <w:b/>
          <w:bCs/>
          <w:i w:val="0"/>
          <w:iCs w:val="0"/>
          <w:color w:val="1F2937"/>
          <w:sz w:val="20"/>
          <w:szCs w:val="20"/>
        </w:rPr>
        <w:t xml:space="preserve">AI Governance &amp; Compliance:  </w:t>
      </w:r>
      <w:r>
        <w:rPr>
          <w:rFonts w:ascii="Calibri" w:hAnsi="Calibri" w:eastAsia="Calibri" w:cs="Calibri"/>
          <w:b w:val="0"/>
          <w:bCs w:val="0"/>
          <w:i w:val="0"/>
          <w:iCs w:val="0"/>
          <w:color w:val="1F2937"/>
          <w:sz w:val="20"/>
          <w:szCs w:val="20"/>
        </w:rPr>
        <w:t>ISO 42001, NIST AI RMF, EU AI Act, OWASP LLM Top 10, UAE PDPL</w:t>
      </w:r>
      <w:r>
        <w:rPr>
          <w:rFonts w:hint="default" w:cs="Calibri"/>
          <w:b w:val="0"/>
          <w:bCs w:val="0"/>
          <w:i w:val="0"/>
          <w:iCs w:val="0"/>
          <w:color w:val="1F2937"/>
          <w:sz w:val="20"/>
          <w:szCs w:val="20"/>
          <w:lang w:val="en-GB"/>
        </w:rPr>
        <w:t>.</w:t>
      </w:r>
    </w:p>
    <w:p w14:paraId="799E3FF5">
      <w:pPr>
        <w:spacing w:before="20" w:after="20"/>
        <w:jc w:val="left"/>
        <w:rPr>
          <w:rFonts w:hint="default"/>
          <w:lang w:val="en-GB"/>
        </w:rPr>
      </w:pPr>
      <w:r>
        <w:rPr>
          <w:rFonts w:ascii="Calibri" w:hAnsi="Calibri" w:eastAsia="Calibri" w:cs="Calibri"/>
          <w:b/>
          <w:bCs/>
          <w:i w:val="0"/>
          <w:iCs w:val="0"/>
          <w:color w:val="1F2937"/>
          <w:sz w:val="20"/>
          <w:szCs w:val="20"/>
        </w:rPr>
        <w:t xml:space="preserve">Cloud Platforms:  </w:t>
      </w:r>
      <w:r>
        <w:rPr>
          <w:rFonts w:ascii="Calibri" w:hAnsi="Calibri" w:eastAsia="Calibri" w:cs="Calibri"/>
          <w:b w:val="0"/>
          <w:bCs w:val="0"/>
          <w:i w:val="0"/>
          <w:iCs w:val="0"/>
          <w:color w:val="1F2937"/>
          <w:sz w:val="20"/>
          <w:szCs w:val="20"/>
        </w:rPr>
        <w:t>Azure OpenAI, AWS Bedrock, Google Vertex AI, Kubernetes, DevSecOps, API Security</w:t>
      </w:r>
      <w:r>
        <w:rPr>
          <w:rFonts w:hint="default" w:cs="Calibri"/>
          <w:b w:val="0"/>
          <w:bCs w:val="0"/>
          <w:i w:val="0"/>
          <w:iCs w:val="0"/>
          <w:color w:val="1F2937"/>
          <w:sz w:val="20"/>
          <w:szCs w:val="20"/>
          <w:lang w:val="en-GB"/>
        </w:rPr>
        <w:t>.</w:t>
      </w:r>
    </w:p>
    <w:p w14:paraId="4A8DA54F">
      <w:pPr>
        <w:spacing w:before="20" w:after="20"/>
        <w:jc w:val="left"/>
        <w:rPr>
          <w:rFonts w:hint="default"/>
          <w:lang w:val="en-GB"/>
        </w:rPr>
      </w:pPr>
      <w:r>
        <w:rPr>
          <w:rFonts w:ascii="Calibri" w:hAnsi="Calibri" w:eastAsia="Calibri" w:cs="Calibri"/>
          <w:b/>
          <w:bCs/>
          <w:i w:val="0"/>
          <w:iCs w:val="0"/>
          <w:color w:val="1F2937"/>
          <w:sz w:val="20"/>
          <w:szCs w:val="20"/>
        </w:rPr>
        <w:t xml:space="preserve">AI Security Tooling:  </w:t>
      </w:r>
      <w:r>
        <w:rPr>
          <w:rFonts w:ascii="Calibri" w:hAnsi="Calibri" w:eastAsia="Calibri" w:cs="Calibri"/>
          <w:b w:val="0"/>
          <w:bCs w:val="0"/>
          <w:i w:val="0"/>
          <w:iCs w:val="0"/>
          <w:color w:val="1F2937"/>
          <w:sz w:val="20"/>
          <w:szCs w:val="20"/>
        </w:rPr>
        <w:t>PyRIT, Garak, Counterfit, Microsoft Sentinel, XDR, FAISS, Pinecone, Azure AI Search</w:t>
      </w:r>
      <w:r>
        <w:rPr>
          <w:rFonts w:hint="default" w:cs="Calibri"/>
          <w:b w:val="0"/>
          <w:bCs w:val="0"/>
          <w:i w:val="0"/>
          <w:iCs w:val="0"/>
          <w:color w:val="1F2937"/>
          <w:sz w:val="20"/>
          <w:szCs w:val="20"/>
          <w:lang w:val="en-GB"/>
        </w:rPr>
        <w:t>.</w:t>
      </w:r>
    </w:p>
    <w:p w14:paraId="690DE1EB">
      <w:pPr>
        <w:spacing w:before="20" w:after="80"/>
        <w:jc w:val="left"/>
      </w:pPr>
      <w:r>
        <w:rPr>
          <w:rFonts w:ascii="Calibri" w:hAnsi="Calibri" w:eastAsia="Calibri" w:cs="Calibri"/>
          <w:b/>
          <w:bCs/>
          <w:i w:val="0"/>
          <w:iCs w:val="0"/>
          <w:color w:val="1F2937"/>
          <w:sz w:val="20"/>
          <w:szCs w:val="20"/>
        </w:rPr>
        <w:t xml:space="preserve">Cloud Security:  </w:t>
      </w:r>
      <w:r>
        <w:rPr>
          <w:rFonts w:ascii="Calibri" w:hAnsi="Calibri" w:eastAsia="Calibri" w:cs="Calibri"/>
          <w:b w:val="0"/>
          <w:bCs w:val="0"/>
          <w:i w:val="0"/>
          <w:iCs w:val="0"/>
          <w:color w:val="1F2937"/>
          <w:sz w:val="20"/>
          <w:szCs w:val="20"/>
        </w:rPr>
        <w:t>Zero Trust, IAM, CSPM, container security, threat modeling, SIEM/SOAR, ISO 27001, SOC 2</w:t>
      </w:r>
    </w:p>
    <w:p w14:paraId="2E7D2AE9">
      <w:pPr>
        <w:pBdr>
          <w:bottom w:val="single" w:color="1A56A0" w:sz="6" w:space="4"/>
        </w:pBdr>
        <w:spacing w:before="160" w:after="40"/>
        <w:jc w:val="left"/>
      </w:pPr>
      <w:r>
        <w:rPr>
          <w:rFonts w:ascii="Calibri" w:hAnsi="Calibri" w:eastAsia="Calibri" w:cs="Calibri"/>
          <w:b/>
          <w:bCs/>
          <w:i w:val="0"/>
          <w:iCs w:val="0"/>
          <w:color w:val="1A56A0"/>
          <w:sz w:val="20"/>
          <w:szCs w:val="20"/>
        </w:rPr>
        <w:t>PROFESSIONAL EXPERIENCE</w:t>
      </w:r>
    </w:p>
    <w:p w14:paraId="4BEDF1FC">
      <w:pPr>
        <w:tabs>
          <w:tab w:val="right" w:pos="9000"/>
        </w:tabs>
        <w:spacing w:before="120" w:after="20"/>
        <w:jc w:val="left"/>
      </w:pPr>
      <w:r>
        <w:rPr>
          <w:rFonts w:ascii="Calibri" w:hAnsi="Calibri" w:eastAsia="Calibri" w:cs="Calibri"/>
          <w:b/>
          <w:bCs/>
          <w:i w:val="0"/>
          <w:iCs w:val="0"/>
          <w:color w:val="1F2937"/>
          <w:sz w:val="20"/>
          <w:szCs w:val="20"/>
        </w:rPr>
        <w:t>Principal Cloud, AI &amp; Digital Security Architect</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CPX</w:t>
      </w:r>
      <w:r>
        <w:rPr>
          <w:rFonts w:ascii="Calibri" w:hAnsi="Calibri" w:eastAsia="Calibri" w:cs="Calibri"/>
          <w:b w:val="0"/>
          <w:bCs w:val="0"/>
          <w:i w:val="0"/>
          <w:iCs w:val="0"/>
          <w:color w:val="6B7280"/>
          <w:sz w:val="20"/>
          <w:szCs w:val="20"/>
        </w:rPr>
        <w:t xml:space="preserve">  |  Abu Dhabi, UAE</w:t>
      </w:r>
      <w:r>
        <w:rPr>
          <w:rFonts w:ascii="Calibri" w:hAnsi="Calibri" w:eastAsia="Calibri" w:cs="Calibri"/>
          <w:sz w:val="20"/>
          <w:szCs w:val="20"/>
        </w:rPr>
        <w:tab/>
      </w:r>
      <w:r>
        <w:rPr>
          <w:rFonts w:ascii="Calibri" w:hAnsi="Calibri" w:eastAsia="Calibri" w:cs="Calibri"/>
          <w:b w:val="0"/>
          <w:bCs w:val="0"/>
          <w:i/>
          <w:iCs/>
          <w:color w:val="6B7280"/>
          <w:sz w:val="20"/>
          <w:szCs w:val="20"/>
        </w:rPr>
        <w:t>Dec 2025 – Present</w:t>
      </w:r>
    </w:p>
    <w:p w14:paraId="128A5ACB">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Architect enterprise AI security frameworks for clients across financial services, government, and energy sectors in the UAE</w:t>
      </w:r>
      <w:r>
        <w:rPr>
          <w:rFonts w:hint="default" w:cs="Calibri"/>
          <w:b w:val="0"/>
          <w:bCs w:val="0"/>
          <w:i w:val="0"/>
          <w:iCs w:val="0"/>
          <w:color w:val="1F2937"/>
          <w:sz w:val="20"/>
          <w:szCs w:val="20"/>
          <w:lang w:val="en-GB"/>
        </w:rPr>
        <w:t>.</w:t>
      </w:r>
    </w:p>
    <w:p w14:paraId="5F1D11FF">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Design secure LLM architectures incorporating prompt injection defenses, access controls, and output validation pipelines</w:t>
      </w:r>
      <w:r>
        <w:rPr>
          <w:rFonts w:hint="default" w:cs="Calibri"/>
          <w:b w:val="0"/>
          <w:bCs w:val="0"/>
          <w:i w:val="0"/>
          <w:iCs w:val="0"/>
          <w:color w:val="1F2937"/>
          <w:sz w:val="20"/>
          <w:szCs w:val="20"/>
          <w:lang w:val="en-GB"/>
        </w:rPr>
        <w:t>.</w:t>
      </w:r>
    </w:p>
    <w:p w14:paraId="172A9950">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Lead AI threat modeling engagements using MITRE ATLAS, identifying adversarial attack vectors pre-deployment</w:t>
      </w:r>
      <w:r>
        <w:rPr>
          <w:rFonts w:hint="default" w:cs="Calibri"/>
          <w:b w:val="0"/>
          <w:bCs w:val="0"/>
          <w:i w:val="0"/>
          <w:iCs w:val="0"/>
          <w:color w:val="1F2937"/>
          <w:sz w:val="20"/>
          <w:szCs w:val="20"/>
          <w:lang w:val="en-GB"/>
        </w:rPr>
        <w:t>.</w:t>
      </w:r>
    </w:p>
    <w:p w14:paraId="39B57E22">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Drive AI governance programs aligned to ISO 42001 and UAE regulatory requirements</w:t>
      </w:r>
      <w:r>
        <w:rPr>
          <w:rFonts w:hint="default" w:cs="Calibri"/>
          <w:b w:val="0"/>
          <w:bCs w:val="0"/>
          <w:i w:val="0"/>
          <w:iCs w:val="0"/>
          <w:color w:val="1F2937"/>
          <w:sz w:val="20"/>
          <w:szCs w:val="20"/>
          <w:lang w:val="en-GB"/>
        </w:rPr>
        <w:t>.</w:t>
      </w:r>
    </w:p>
    <w:p w14:paraId="4E211A72">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Achieved 99.2% threat detection rate in pre-production AI model assessments through automated red teaming pipelines</w:t>
      </w:r>
      <w:r>
        <w:rPr>
          <w:rFonts w:hint="default" w:cs="Calibri"/>
          <w:b w:val="0"/>
          <w:bCs w:val="0"/>
          <w:i w:val="0"/>
          <w:iCs w:val="0"/>
          <w:color w:val="1F2937"/>
          <w:sz w:val="20"/>
          <w:szCs w:val="20"/>
          <w:lang w:val="en-GB"/>
        </w:rPr>
        <w:t>.</w:t>
      </w:r>
    </w:p>
    <w:p w14:paraId="21DB4490">
      <w:pPr>
        <w:tabs>
          <w:tab w:val="right" w:pos="9000"/>
        </w:tabs>
        <w:spacing w:before="120" w:after="20"/>
        <w:jc w:val="left"/>
      </w:pPr>
      <w:r>
        <w:rPr>
          <w:rFonts w:ascii="Calibri" w:hAnsi="Calibri" w:eastAsia="Calibri" w:cs="Calibri"/>
          <w:b/>
          <w:bCs/>
          <w:i w:val="0"/>
          <w:iCs w:val="0"/>
          <w:color w:val="1F2937"/>
          <w:sz w:val="20"/>
          <w:szCs w:val="20"/>
        </w:rPr>
        <w:t>Senior Cloud Security Architect &amp; AI Security Lead</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Aramco Digital</w:t>
      </w:r>
      <w:r>
        <w:rPr>
          <w:rFonts w:ascii="Calibri" w:hAnsi="Calibri" w:eastAsia="Calibri" w:cs="Calibri"/>
          <w:b w:val="0"/>
          <w:bCs w:val="0"/>
          <w:i w:val="0"/>
          <w:iCs w:val="0"/>
          <w:color w:val="6B7280"/>
          <w:sz w:val="20"/>
          <w:szCs w:val="20"/>
        </w:rPr>
        <w:t xml:space="preserve">  |  Saudi Arabia</w:t>
      </w:r>
      <w:r>
        <w:rPr>
          <w:rFonts w:ascii="Calibri" w:hAnsi="Calibri" w:eastAsia="Calibri" w:cs="Calibri"/>
          <w:sz w:val="20"/>
          <w:szCs w:val="20"/>
        </w:rPr>
        <w:tab/>
      </w:r>
      <w:r>
        <w:rPr>
          <w:rFonts w:ascii="Calibri" w:hAnsi="Calibri" w:eastAsia="Calibri" w:cs="Calibri"/>
          <w:b w:val="0"/>
          <w:bCs w:val="0"/>
          <w:i/>
          <w:iCs/>
          <w:color w:val="6B7280"/>
          <w:sz w:val="20"/>
          <w:szCs w:val="20"/>
        </w:rPr>
        <w:t>Jan 2025 – Nov 2025</w:t>
      </w:r>
    </w:p>
    <w:p w14:paraId="0C4EA2BC">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Assessed 50+ AI/ML models for adversarial risk, prompt injection vulnerabilities, data poisoning, and model integrity</w:t>
      </w:r>
      <w:r>
        <w:rPr>
          <w:rFonts w:hint="default" w:cs="Calibri"/>
          <w:b w:val="0"/>
          <w:bCs w:val="0"/>
          <w:i w:val="0"/>
          <w:iCs w:val="0"/>
          <w:color w:val="1F2937"/>
          <w:sz w:val="20"/>
          <w:szCs w:val="20"/>
          <w:lang w:val="en-GB"/>
        </w:rPr>
        <w:t>.</w:t>
      </w:r>
    </w:p>
    <w:p w14:paraId="75C2FFFB">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Built end-to-end AI red teaming pipelines using PyRIT, Garak, and Counterfit, improving model resilience by 85%</w:t>
      </w:r>
      <w:r>
        <w:rPr>
          <w:rFonts w:hint="default" w:cs="Calibri"/>
          <w:b w:val="0"/>
          <w:bCs w:val="0"/>
          <w:i w:val="0"/>
          <w:iCs w:val="0"/>
          <w:color w:val="1F2937"/>
          <w:sz w:val="20"/>
          <w:szCs w:val="20"/>
          <w:lang w:val="en-GB"/>
        </w:rPr>
        <w:t>.</w:t>
      </w:r>
    </w:p>
    <w:p w14:paraId="5777185A">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Designed secure MLOps pipelines integrating SAST/DAST controls, container security, and supply chain integrity checks</w:t>
      </w:r>
      <w:r>
        <w:rPr>
          <w:rFonts w:hint="default" w:cs="Calibri"/>
          <w:b w:val="0"/>
          <w:bCs w:val="0"/>
          <w:i w:val="0"/>
          <w:iCs w:val="0"/>
          <w:color w:val="1F2937"/>
          <w:sz w:val="20"/>
          <w:szCs w:val="20"/>
          <w:lang w:val="en-GB"/>
        </w:rPr>
        <w:t>.</w:t>
      </w:r>
    </w:p>
    <w:p w14:paraId="340DAA56">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Aligned AI security controls to NIST AI RMF and Saudi PDPL data governance requirements</w:t>
      </w:r>
      <w:r>
        <w:rPr>
          <w:rFonts w:hint="default" w:cs="Calibri"/>
          <w:b w:val="0"/>
          <w:bCs w:val="0"/>
          <w:i w:val="0"/>
          <w:iCs w:val="0"/>
          <w:color w:val="1F2937"/>
          <w:sz w:val="20"/>
          <w:szCs w:val="20"/>
          <w:lang w:val="en-GB"/>
        </w:rPr>
        <w:t>.</w:t>
      </w:r>
    </w:p>
    <w:p w14:paraId="21315254">
      <w:pPr>
        <w:tabs>
          <w:tab w:val="right" w:pos="9000"/>
        </w:tabs>
        <w:spacing w:before="120" w:after="20"/>
        <w:jc w:val="left"/>
      </w:pPr>
      <w:r>
        <w:rPr>
          <w:rFonts w:ascii="Calibri" w:hAnsi="Calibri" w:eastAsia="Calibri" w:cs="Calibri"/>
          <w:b/>
          <w:bCs/>
          <w:i w:val="0"/>
          <w:iCs w:val="0"/>
          <w:color w:val="1F2937"/>
          <w:sz w:val="20"/>
          <w:szCs w:val="20"/>
        </w:rPr>
        <w:t>Cloud, AI &amp; ML Security Architect</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CirrusLabs</w:t>
      </w:r>
      <w:r>
        <w:rPr>
          <w:rFonts w:ascii="Calibri" w:hAnsi="Calibri" w:eastAsia="Calibri" w:cs="Calibri"/>
          <w:b w:val="0"/>
          <w:bCs w:val="0"/>
          <w:i w:val="0"/>
          <w:iCs w:val="0"/>
          <w:color w:val="6B7280"/>
          <w:sz w:val="20"/>
          <w:szCs w:val="20"/>
        </w:rPr>
        <w:t xml:space="preserve">  |  Remote / USA</w:t>
      </w:r>
      <w:r>
        <w:rPr>
          <w:rFonts w:ascii="Calibri" w:hAnsi="Calibri" w:eastAsia="Calibri" w:cs="Calibri"/>
          <w:sz w:val="20"/>
          <w:szCs w:val="20"/>
        </w:rPr>
        <w:tab/>
      </w:r>
      <w:r>
        <w:rPr>
          <w:rFonts w:ascii="Calibri" w:hAnsi="Calibri" w:eastAsia="Calibri" w:cs="Calibri"/>
          <w:b w:val="0"/>
          <w:bCs w:val="0"/>
          <w:i/>
          <w:iCs/>
          <w:color w:val="6B7280"/>
          <w:sz w:val="20"/>
          <w:szCs w:val="20"/>
        </w:rPr>
        <w:t>Feb 2024 – Dec 2024</w:t>
      </w:r>
    </w:p>
    <w:p w14:paraId="2874E8FC">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Led secure design reviews and threat modeling for AI/ML product features on AWS and Azure platforms</w:t>
      </w:r>
      <w:r>
        <w:rPr>
          <w:rFonts w:hint="default" w:cs="Calibri"/>
          <w:b w:val="0"/>
          <w:bCs w:val="0"/>
          <w:i w:val="0"/>
          <w:iCs w:val="0"/>
          <w:color w:val="1F2937"/>
          <w:sz w:val="20"/>
          <w:szCs w:val="20"/>
          <w:lang w:val="en-GB"/>
        </w:rPr>
        <w:t>.</w:t>
      </w:r>
    </w:p>
    <w:p w14:paraId="65342BB6">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Conducted gap analyses of security and compliance controls, producing remediation roadmaps for enterprise clients</w:t>
      </w:r>
      <w:r>
        <w:rPr>
          <w:rFonts w:hint="default" w:cs="Calibri"/>
          <w:b w:val="0"/>
          <w:bCs w:val="0"/>
          <w:i w:val="0"/>
          <w:iCs w:val="0"/>
          <w:color w:val="1F2937"/>
          <w:sz w:val="20"/>
          <w:szCs w:val="20"/>
          <w:lang w:val="en-GB"/>
        </w:rPr>
        <w:t>.</w:t>
      </w:r>
    </w:p>
    <w:p w14:paraId="19428570">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Developed reusable security tooling and automated proactive security checks for cloud AI deployments</w:t>
      </w:r>
      <w:r>
        <w:rPr>
          <w:rFonts w:hint="default" w:cs="Calibri"/>
          <w:b w:val="0"/>
          <w:bCs w:val="0"/>
          <w:i w:val="0"/>
          <w:iCs w:val="0"/>
          <w:color w:val="1F2937"/>
          <w:sz w:val="20"/>
          <w:szCs w:val="20"/>
          <w:lang w:val="en-GB"/>
        </w:rPr>
        <w:t>.</w:t>
      </w:r>
    </w:p>
    <w:p w14:paraId="09448F36">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Integrated MLOps security controls covering model versioning, access governance, and inference endpoint hardening</w:t>
      </w:r>
      <w:r>
        <w:rPr>
          <w:rFonts w:hint="default" w:cs="Calibri"/>
          <w:b w:val="0"/>
          <w:bCs w:val="0"/>
          <w:i w:val="0"/>
          <w:iCs w:val="0"/>
          <w:color w:val="1F2937"/>
          <w:sz w:val="20"/>
          <w:szCs w:val="20"/>
          <w:lang w:val="en-GB"/>
        </w:rPr>
        <w:t>.</w:t>
      </w:r>
    </w:p>
    <w:p w14:paraId="5EF5A152">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Advised clients on GenAI security architecture for LLM applications including RAG pipelines and agentic systems</w:t>
      </w:r>
      <w:r>
        <w:rPr>
          <w:rFonts w:hint="default" w:cs="Calibri"/>
          <w:b w:val="0"/>
          <w:bCs w:val="0"/>
          <w:i w:val="0"/>
          <w:iCs w:val="0"/>
          <w:color w:val="1F2937"/>
          <w:sz w:val="20"/>
          <w:szCs w:val="20"/>
          <w:lang w:val="en-GB"/>
        </w:rPr>
        <w:t>.</w:t>
      </w:r>
    </w:p>
    <w:p w14:paraId="140909CA">
      <w:pPr>
        <w:tabs>
          <w:tab w:val="right" w:pos="9000"/>
        </w:tabs>
        <w:spacing w:before="120" w:after="20"/>
        <w:jc w:val="left"/>
      </w:pPr>
      <w:r>
        <w:rPr>
          <w:rFonts w:ascii="Calibri" w:hAnsi="Calibri" w:eastAsia="Calibri" w:cs="Calibri"/>
          <w:b/>
          <w:bCs/>
          <w:i w:val="0"/>
          <w:iCs w:val="0"/>
          <w:color w:val="1F2937"/>
          <w:sz w:val="20"/>
          <w:szCs w:val="20"/>
        </w:rPr>
        <w:t>Cloud Data Security Architect</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Sutherland Global Services (Client: Clarien Bank, Bermuda)</w:t>
      </w:r>
      <w:r>
        <w:rPr>
          <w:rFonts w:ascii="Calibri" w:hAnsi="Calibri" w:eastAsia="Calibri" w:cs="Calibri"/>
          <w:b w:val="0"/>
          <w:bCs w:val="0"/>
          <w:i w:val="0"/>
          <w:iCs w:val="0"/>
          <w:color w:val="6B7280"/>
          <w:sz w:val="20"/>
          <w:szCs w:val="20"/>
        </w:rPr>
        <w:t xml:space="preserve">  |  Remote</w:t>
      </w:r>
      <w:r>
        <w:rPr>
          <w:rFonts w:ascii="Calibri" w:hAnsi="Calibri" w:eastAsia="Calibri" w:cs="Calibri"/>
          <w:sz w:val="20"/>
          <w:szCs w:val="20"/>
        </w:rPr>
        <w:tab/>
      </w:r>
      <w:r>
        <w:rPr>
          <w:rFonts w:ascii="Calibri" w:hAnsi="Calibri" w:eastAsia="Calibri" w:cs="Calibri"/>
          <w:b w:val="0"/>
          <w:bCs w:val="0"/>
          <w:i/>
          <w:iCs/>
          <w:color w:val="6B7280"/>
          <w:sz w:val="20"/>
          <w:szCs w:val="20"/>
        </w:rPr>
        <w:t>Oct 2023 – Jan 2024</w:t>
      </w:r>
    </w:p>
    <w:p w14:paraId="5C9F16BB">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Designed and implemented cloud data security architecture for a Bermuda-based financial institution on AWS</w:t>
      </w:r>
      <w:r>
        <w:rPr>
          <w:rFonts w:hint="default" w:cs="Calibri"/>
          <w:b w:val="0"/>
          <w:bCs w:val="0"/>
          <w:i w:val="0"/>
          <w:iCs w:val="0"/>
          <w:color w:val="1F2937"/>
          <w:sz w:val="20"/>
          <w:szCs w:val="20"/>
          <w:lang w:val="en-GB"/>
        </w:rPr>
        <w:t>.</w:t>
      </w:r>
    </w:p>
    <w:p w14:paraId="339A9AE4">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Delivered data classification, encryption-at-rest/in-transit controls, and DLP policies across cloud workloads</w:t>
      </w:r>
      <w:r>
        <w:rPr>
          <w:rFonts w:hint="default" w:cs="Calibri"/>
          <w:b w:val="0"/>
          <w:bCs w:val="0"/>
          <w:i w:val="0"/>
          <w:iCs w:val="0"/>
          <w:color w:val="1F2937"/>
          <w:sz w:val="20"/>
          <w:szCs w:val="20"/>
          <w:lang w:val="en-GB"/>
        </w:rPr>
        <w:t>.</w:t>
      </w:r>
    </w:p>
    <w:p w14:paraId="1C31976A">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Performed security assessments against PCI-DSS and financial regulatory frameworks</w:t>
      </w:r>
      <w:r>
        <w:rPr>
          <w:rFonts w:hint="default" w:cs="Calibri"/>
          <w:b w:val="0"/>
          <w:bCs w:val="0"/>
          <w:i w:val="0"/>
          <w:iCs w:val="0"/>
          <w:color w:val="1F2937"/>
          <w:sz w:val="20"/>
          <w:szCs w:val="20"/>
          <w:lang w:val="en-GB"/>
        </w:rPr>
        <w:t>.</w:t>
      </w:r>
    </w:p>
    <w:p w14:paraId="7D627078">
      <w:pPr>
        <w:tabs>
          <w:tab w:val="right" w:pos="9000"/>
        </w:tabs>
        <w:spacing w:before="120" w:after="20"/>
        <w:jc w:val="left"/>
      </w:pPr>
      <w:r>
        <w:rPr>
          <w:rFonts w:ascii="Calibri" w:hAnsi="Calibri" w:eastAsia="Calibri" w:cs="Calibri"/>
          <w:b/>
          <w:bCs/>
          <w:i w:val="0"/>
          <w:iCs w:val="0"/>
          <w:color w:val="1F2937"/>
          <w:sz w:val="20"/>
          <w:szCs w:val="20"/>
        </w:rPr>
        <w:t>Cloud Data Security Architect</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Wipro (Client: Shell)</w:t>
      </w:r>
      <w:r>
        <w:rPr>
          <w:rFonts w:ascii="Calibri" w:hAnsi="Calibri" w:eastAsia="Calibri" w:cs="Calibri"/>
          <w:b w:val="0"/>
          <w:bCs w:val="0"/>
          <w:i w:val="0"/>
          <w:iCs w:val="0"/>
          <w:color w:val="6B7280"/>
          <w:sz w:val="20"/>
          <w:szCs w:val="20"/>
        </w:rPr>
        <w:t xml:space="preserve">  |  Remote / Netherlands</w:t>
      </w:r>
      <w:r>
        <w:rPr>
          <w:rFonts w:ascii="Calibri" w:hAnsi="Calibri" w:eastAsia="Calibri" w:cs="Calibri"/>
          <w:sz w:val="20"/>
          <w:szCs w:val="20"/>
        </w:rPr>
        <w:tab/>
      </w:r>
      <w:r>
        <w:rPr>
          <w:rFonts w:ascii="Calibri" w:hAnsi="Calibri" w:eastAsia="Calibri" w:cs="Calibri"/>
          <w:b w:val="0"/>
          <w:bCs w:val="0"/>
          <w:i/>
          <w:iCs/>
          <w:color w:val="6B7280"/>
          <w:sz w:val="20"/>
          <w:szCs w:val="20"/>
        </w:rPr>
        <w:t>Oct 2021 – Aug 2023</w:t>
      </w:r>
    </w:p>
    <w:p w14:paraId="297D099A">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Architected cloud security controls for Shell's enterprise Azure and AWS environments covering 100+ workloads</w:t>
      </w:r>
      <w:r>
        <w:rPr>
          <w:rFonts w:hint="default" w:cs="Calibri"/>
          <w:b w:val="0"/>
          <w:bCs w:val="0"/>
          <w:i w:val="0"/>
          <w:iCs w:val="0"/>
          <w:color w:val="1F2937"/>
          <w:sz w:val="20"/>
          <w:szCs w:val="20"/>
          <w:lang w:val="en-GB"/>
        </w:rPr>
        <w:t>.</w:t>
      </w:r>
    </w:p>
    <w:p w14:paraId="538FCB5B">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Led threat modeling and security architecture reviews for cloud-native data pipelines and ML workloads</w:t>
      </w:r>
      <w:r>
        <w:rPr>
          <w:rFonts w:hint="default" w:cs="Calibri"/>
          <w:b w:val="0"/>
          <w:bCs w:val="0"/>
          <w:i w:val="0"/>
          <w:iCs w:val="0"/>
          <w:color w:val="1F2937"/>
          <w:sz w:val="20"/>
          <w:szCs w:val="20"/>
          <w:lang w:val="en-GB"/>
        </w:rPr>
        <w:t>.</w:t>
      </w:r>
    </w:p>
    <w:p w14:paraId="27253731">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Implemented Zero Trust network segmentation, CSPM tooling, and automated compliance reporting</w:t>
      </w:r>
      <w:r>
        <w:rPr>
          <w:rFonts w:hint="default" w:cs="Calibri"/>
          <w:b w:val="0"/>
          <w:bCs w:val="0"/>
          <w:i w:val="0"/>
          <w:iCs w:val="0"/>
          <w:color w:val="1F2937"/>
          <w:sz w:val="20"/>
          <w:szCs w:val="20"/>
          <w:lang w:val="en-GB"/>
        </w:rPr>
        <w:t>.</w:t>
      </w:r>
    </w:p>
    <w:p w14:paraId="5663A72B">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Drove security automation using Infrastructure-as-Code (Terraform, Bicep) and CI/CD pipeline security gates</w:t>
      </w:r>
      <w:r>
        <w:rPr>
          <w:rFonts w:hint="default" w:cs="Calibri"/>
          <w:b w:val="0"/>
          <w:bCs w:val="0"/>
          <w:i w:val="0"/>
          <w:iCs w:val="0"/>
          <w:color w:val="1F2937"/>
          <w:sz w:val="20"/>
          <w:szCs w:val="20"/>
          <w:lang w:val="en-GB"/>
        </w:rPr>
        <w:t>.</w:t>
      </w:r>
    </w:p>
    <w:p w14:paraId="59D38249">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Mentored a team of 6 security engineers across cloud security disciplines</w:t>
      </w:r>
      <w:r>
        <w:rPr>
          <w:rFonts w:hint="default" w:cs="Calibri"/>
          <w:b w:val="0"/>
          <w:bCs w:val="0"/>
          <w:i w:val="0"/>
          <w:iCs w:val="0"/>
          <w:color w:val="1F2937"/>
          <w:sz w:val="20"/>
          <w:szCs w:val="20"/>
          <w:lang w:val="en-GB"/>
        </w:rPr>
        <w:t>.</w:t>
      </w:r>
    </w:p>
    <w:p w14:paraId="512B2EF4">
      <w:pPr>
        <w:tabs>
          <w:tab w:val="right" w:pos="9000"/>
        </w:tabs>
        <w:spacing w:before="120" w:after="20"/>
        <w:jc w:val="left"/>
      </w:pPr>
      <w:r>
        <w:rPr>
          <w:rFonts w:ascii="Calibri" w:hAnsi="Calibri" w:eastAsia="Calibri" w:cs="Calibri"/>
          <w:b/>
          <w:bCs/>
          <w:i w:val="0"/>
          <w:iCs w:val="0"/>
          <w:color w:val="1F2937"/>
          <w:sz w:val="20"/>
          <w:szCs w:val="20"/>
        </w:rPr>
        <w:t>Principal Cloud Security Engineer</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NXP Semiconductors</w:t>
      </w:r>
      <w:r>
        <w:rPr>
          <w:rFonts w:ascii="Calibri" w:hAnsi="Calibri" w:eastAsia="Calibri" w:cs="Calibri"/>
          <w:b w:val="0"/>
          <w:bCs w:val="0"/>
          <w:i w:val="0"/>
          <w:iCs w:val="0"/>
          <w:color w:val="6B7280"/>
          <w:sz w:val="20"/>
          <w:szCs w:val="20"/>
        </w:rPr>
        <w:t xml:space="preserve">  |  Remote / Netherlands</w:t>
      </w:r>
      <w:r>
        <w:rPr>
          <w:rFonts w:ascii="Calibri" w:hAnsi="Calibri" w:eastAsia="Calibri" w:cs="Calibri"/>
          <w:sz w:val="20"/>
          <w:szCs w:val="20"/>
        </w:rPr>
        <w:tab/>
      </w:r>
      <w:r>
        <w:rPr>
          <w:rFonts w:ascii="Calibri" w:hAnsi="Calibri" w:eastAsia="Calibri" w:cs="Calibri"/>
          <w:b w:val="0"/>
          <w:bCs w:val="0"/>
          <w:i/>
          <w:iCs/>
          <w:color w:val="6B7280"/>
          <w:sz w:val="20"/>
          <w:szCs w:val="20"/>
        </w:rPr>
        <w:t>Oct 2020 – Jun 2021</w:t>
      </w:r>
    </w:p>
    <w:p w14:paraId="212D6931">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Designed cloud workload security architecture for NXP's global R&amp;D and manufacturing environments on AWS/Azure</w:t>
      </w:r>
      <w:r>
        <w:rPr>
          <w:rFonts w:hint="default" w:cs="Calibri"/>
          <w:b w:val="0"/>
          <w:bCs w:val="0"/>
          <w:i w:val="0"/>
          <w:iCs w:val="0"/>
          <w:color w:val="1F2937"/>
          <w:sz w:val="20"/>
          <w:szCs w:val="20"/>
          <w:lang w:val="en-GB"/>
        </w:rPr>
        <w:t>.</w:t>
      </w:r>
    </w:p>
    <w:p w14:paraId="0ECB0493">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Implemented container security frameworks (Kubernetes, Docker) with runtime threat detection and image scanning</w:t>
      </w:r>
      <w:r>
        <w:rPr>
          <w:rFonts w:hint="default" w:cs="Calibri"/>
          <w:b w:val="0"/>
          <w:bCs w:val="0"/>
          <w:i w:val="0"/>
          <w:iCs w:val="0"/>
          <w:color w:val="1F2937"/>
          <w:sz w:val="20"/>
          <w:szCs w:val="20"/>
          <w:lang w:val="en-GB"/>
        </w:rPr>
        <w:t>.</w:t>
      </w:r>
    </w:p>
    <w:p w14:paraId="4324AAEA">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Led IAM governance, privileged access management, and secrets management across multi-cloud environments</w:t>
      </w:r>
      <w:r>
        <w:rPr>
          <w:rFonts w:hint="default" w:cs="Calibri"/>
          <w:b w:val="0"/>
          <w:bCs w:val="0"/>
          <w:i w:val="0"/>
          <w:iCs w:val="0"/>
          <w:color w:val="1F2937"/>
          <w:sz w:val="20"/>
          <w:szCs w:val="20"/>
          <w:lang w:val="en-GB"/>
        </w:rPr>
        <w:t>.</w:t>
      </w:r>
    </w:p>
    <w:p w14:paraId="13850F0E">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Delivered security architecture for ML-based anomaly detection systems protecting semiconductor IP</w:t>
      </w:r>
      <w:r>
        <w:rPr>
          <w:rFonts w:hint="default" w:cs="Calibri"/>
          <w:b w:val="0"/>
          <w:bCs w:val="0"/>
          <w:i w:val="0"/>
          <w:iCs w:val="0"/>
          <w:color w:val="1F2937"/>
          <w:sz w:val="20"/>
          <w:szCs w:val="20"/>
          <w:lang w:val="en-GB"/>
        </w:rPr>
        <w:t>.</w:t>
      </w:r>
    </w:p>
    <w:p w14:paraId="4A34E99B">
      <w:pPr>
        <w:tabs>
          <w:tab w:val="right" w:pos="9000"/>
        </w:tabs>
        <w:spacing w:before="120" w:after="20"/>
        <w:jc w:val="left"/>
      </w:pPr>
      <w:r>
        <w:rPr>
          <w:rFonts w:ascii="Calibri" w:hAnsi="Calibri" w:eastAsia="Calibri" w:cs="Calibri"/>
          <w:b/>
          <w:bCs/>
          <w:i w:val="0"/>
          <w:iCs w:val="0"/>
          <w:color w:val="1F2937"/>
          <w:sz w:val="20"/>
          <w:szCs w:val="20"/>
        </w:rPr>
        <w:t>AWS/Azure Cloud Security Architect</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Appsnext LLC</w:t>
      </w:r>
      <w:r>
        <w:rPr>
          <w:rFonts w:ascii="Calibri" w:hAnsi="Calibri" w:eastAsia="Calibri" w:cs="Calibri"/>
          <w:b w:val="0"/>
          <w:bCs w:val="0"/>
          <w:i w:val="0"/>
          <w:iCs w:val="0"/>
          <w:color w:val="6B7280"/>
          <w:sz w:val="20"/>
          <w:szCs w:val="20"/>
        </w:rPr>
        <w:t xml:space="preserve">  |  UAE</w:t>
      </w:r>
      <w:r>
        <w:rPr>
          <w:rFonts w:ascii="Calibri" w:hAnsi="Calibri" w:eastAsia="Calibri" w:cs="Calibri"/>
          <w:sz w:val="20"/>
          <w:szCs w:val="20"/>
        </w:rPr>
        <w:tab/>
      </w:r>
      <w:r>
        <w:rPr>
          <w:rFonts w:ascii="Calibri" w:hAnsi="Calibri" w:eastAsia="Calibri" w:cs="Calibri"/>
          <w:b w:val="0"/>
          <w:bCs w:val="0"/>
          <w:i/>
          <w:iCs/>
          <w:color w:val="6B7280"/>
          <w:sz w:val="20"/>
          <w:szCs w:val="20"/>
        </w:rPr>
        <w:t>Apr 2020 – Sep 2020</w:t>
      </w:r>
    </w:p>
    <w:p w14:paraId="4A197DFA">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Designed cloud security reference architectures for financial and retail sector clients across the GCC</w:t>
      </w:r>
      <w:r>
        <w:rPr>
          <w:rFonts w:hint="default" w:cs="Calibri"/>
          <w:b w:val="0"/>
          <w:bCs w:val="0"/>
          <w:i w:val="0"/>
          <w:iCs w:val="0"/>
          <w:color w:val="1F2937"/>
          <w:sz w:val="20"/>
          <w:szCs w:val="20"/>
          <w:lang w:val="en-GB"/>
        </w:rPr>
        <w:t>.</w:t>
      </w:r>
    </w:p>
    <w:p w14:paraId="5B653D0F">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Delivered cloud security assessments, architecture reviews, and remediation plans aligned to CIS Benchmarks</w:t>
      </w:r>
      <w:r>
        <w:rPr>
          <w:rFonts w:hint="default" w:cs="Calibri"/>
          <w:b w:val="0"/>
          <w:bCs w:val="0"/>
          <w:i w:val="0"/>
          <w:iCs w:val="0"/>
          <w:color w:val="1F2937"/>
          <w:sz w:val="20"/>
          <w:szCs w:val="20"/>
          <w:lang w:val="en-GB"/>
        </w:rPr>
        <w:t>.</w:t>
      </w:r>
    </w:p>
    <w:p w14:paraId="2B60ED47">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Implemented identity federation, CASB controls, and network micro-segmentation for multi-tenant environments</w:t>
      </w:r>
      <w:r>
        <w:rPr>
          <w:rFonts w:hint="default" w:cs="Calibri"/>
          <w:b w:val="0"/>
          <w:bCs w:val="0"/>
          <w:i w:val="0"/>
          <w:iCs w:val="0"/>
          <w:color w:val="1F2937"/>
          <w:sz w:val="20"/>
          <w:szCs w:val="20"/>
          <w:lang w:val="en-GB"/>
        </w:rPr>
        <w:t>.</w:t>
      </w:r>
    </w:p>
    <w:p w14:paraId="053B3799">
      <w:pPr>
        <w:tabs>
          <w:tab w:val="right" w:pos="9000"/>
        </w:tabs>
        <w:spacing w:before="120" w:after="20"/>
        <w:jc w:val="left"/>
      </w:pPr>
      <w:r>
        <w:rPr>
          <w:rFonts w:ascii="Calibri" w:hAnsi="Calibri" w:eastAsia="Calibri" w:cs="Calibri"/>
          <w:b/>
          <w:bCs/>
          <w:i w:val="0"/>
          <w:iCs w:val="0"/>
          <w:color w:val="1F2937"/>
          <w:sz w:val="20"/>
          <w:szCs w:val="20"/>
        </w:rPr>
        <w:t>AWS/Azure Cloud Security Architect</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Bank Albilad</w:t>
      </w:r>
      <w:r>
        <w:rPr>
          <w:rFonts w:ascii="Calibri" w:hAnsi="Calibri" w:eastAsia="Calibri" w:cs="Calibri"/>
          <w:b w:val="0"/>
          <w:bCs w:val="0"/>
          <w:i w:val="0"/>
          <w:iCs w:val="0"/>
          <w:color w:val="6B7280"/>
          <w:sz w:val="20"/>
          <w:szCs w:val="20"/>
        </w:rPr>
        <w:t xml:space="preserve">  |  Riyadh, Saudi Arabia</w:t>
      </w:r>
      <w:r>
        <w:rPr>
          <w:rFonts w:ascii="Calibri" w:hAnsi="Calibri" w:eastAsia="Calibri" w:cs="Calibri"/>
          <w:sz w:val="20"/>
          <w:szCs w:val="20"/>
        </w:rPr>
        <w:tab/>
      </w:r>
      <w:r>
        <w:rPr>
          <w:rFonts w:ascii="Calibri" w:hAnsi="Calibri" w:eastAsia="Calibri" w:cs="Calibri"/>
          <w:b w:val="0"/>
          <w:bCs w:val="0"/>
          <w:i/>
          <w:iCs/>
          <w:color w:val="6B7280"/>
          <w:sz w:val="20"/>
          <w:szCs w:val="20"/>
        </w:rPr>
        <w:t>Jan 2016 – Aug 2016</w:t>
      </w:r>
    </w:p>
    <w:p w14:paraId="6F593E4D">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Assessed and hardened cloud security posture for banking workloads on AWS in compliance with SAMA guidelines</w:t>
      </w:r>
      <w:r>
        <w:rPr>
          <w:rFonts w:hint="default" w:cs="Calibri"/>
          <w:b w:val="0"/>
          <w:bCs w:val="0"/>
          <w:i w:val="0"/>
          <w:iCs w:val="0"/>
          <w:color w:val="1F2937"/>
          <w:sz w:val="20"/>
          <w:szCs w:val="20"/>
          <w:lang w:val="en-GB"/>
        </w:rPr>
        <w:t>.</w:t>
      </w:r>
    </w:p>
    <w:p w14:paraId="597881CD">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Designed IAM policies, network security groups, and encryption controls for core banking system migrations</w:t>
      </w:r>
      <w:r>
        <w:rPr>
          <w:rFonts w:hint="default" w:cs="Calibri"/>
          <w:b w:val="0"/>
          <w:bCs w:val="0"/>
          <w:i w:val="0"/>
          <w:iCs w:val="0"/>
          <w:color w:val="1F2937"/>
          <w:sz w:val="20"/>
          <w:szCs w:val="20"/>
          <w:lang w:val="en-GB"/>
        </w:rPr>
        <w:t>.</w:t>
      </w:r>
    </w:p>
    <w:p w14:paraId="1B0530D6">
      <w:pPr>
        <w:tabs>
          <w:tab w:val="right" w:pos="9000"/>
        </w:tabs>
        <w:spacing w:before="120" w:after="20"/>
        <w:jc w:val="left"/>
      </w:pPr>
      <w:r>
        <w:rPr>
          <w:rFonts w:ascii="Calibri" w:hAnsi="Calibri" w:eastAsia="Calibri" w:cs="Calibri"/>
          <w:b/>
          <w:bCs/>
          <w:i w:val="0"/>
          <w:iCs w:val="0"/>
          <w:color w:val="1F2937"/>
          <w:sz w:val="20"/>
          <w:szCs w:val="20"/>
        </w:rPr>
        <w:t>AWS/Azure Cloud Security Architect</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Xavient Digital</w:t>
      </w:r>
      <w:r>
        <w:rPr>
          <w:rFonts w:ascii="Calibri" w:hAnsi="Calibri" w:eastAsia="Calibri" w:cs="Calibri"/>
          <w:b w:val="0"/>
          <w:bCs w:val="0"/>
          <w:i w:val="0"/>
          <w:iCs w:val="0"/>
          <w:color w:val="6B7280"/>
          <w:sz w:val="20"/>
          <w:szCs w:val="20"/>
        </w:rPr>
        <w:t xml:space="preserve">  |  USA / Remote</w:t>
      </w:r>
      <w:r>
        <w:rPr>
          <w:rFonts w:ascii="Calibri" w:hAnsi="Calibri" w:eastAsia="Calibri" w:cs="Calibri"/>
          <w:sz w:val="20"/>
          <w:szCs w:val="20"/>
        </w:rPr>
        <w:tab/>
      </w:r>
      <w:r>
        <w:rPr>
          <w:rFonts w:ascii="Calibri" w:hAnsi="Calibri" w:eastAsia="Calibri" w:cs="Calibri"/>
          <w:b w:val="0"/>
          <w:bCs w:val="0"/>
          <w:i/>
          <w:iCs/>
          <w:color w:val="6B7280"/>
          <w:sz w:val="20"/>
          <w:szCs w:val="20"/>
        </w:rPr>
        <w:t>Sep 2016 – Jun 2017</w:t>
      </w:r>
    </w:p>
    <w:p w14:paraId="7C012210">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Delivered cloud security architecture and compliance assessments for US-based enterprise clients</w:t>
      </w:r>
      <w:r>
        <w:rPr>
          <w:rFonts w:hint="default" w:cs="Calibri"/>
          <w:b w:val="0"/>
          <w:bCs w:val="0"/>
          <w:i w:val="0"/>
          <w:iCs w:val="0"/>
          <w:color w:val="1F2937"/>
          <w:sz w:val="20"/>
          <w:szCs w:val="20"/>
          <w:lang w:val="en-GB"/>
        </w:rPr>
        <w:t>.</w:t>
      </w:r>
    </w:p>
    <w:p w14:paraId="4CA791BE">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Implemented security controls for cloud-native applications across AWS environments</w:t>
      </w:r>
      <w:r>
        <w:rPr>
          <w:rFonts w:hint="default" w:cs="Calibri"/>
          <w:b w:val="0"/>
          <w:bCs w:val="0"/>
          <w:i w:val="0"/>
          <w:iCs w:val="0"/>
          <w:color w:val="1F2937"/>
          <w:sz w:val="20"/>
          <w:szCs w:val="20"/>
          <w:lang w:val="en-GB"/>
        </w:rPr>
        <w:t>.</w:t>
      </w:r>
    </w:p>
    <w:p w14:paraId="7D1975E2">
      <w:pPr>
        <w:tabs>
          <w:tab w:val="right" w:pos="9000"/>
        </w:tabs>
        <w:spacing w:before="120" w:after="20"/>
        <w:jc w:val="left"/>
      </w:pPr>
      <w:r>
        <w:rPr>
          <w:rFonts w:ascii="Calibri" w:hAnsi="Calibri" w:eastAsia="Calibri" w:cs="Calibri"/>
          <w:b/>
          <w:bCs/>
          <w:i w:val="0"/>
          <w:iCs w:val="0"/>
          <w:color w:val="1F2937"/>
          <w:sz w:val="20"/>
          <w:szCs w:val="20"/>
        </w:rPr>
        <w:t>Senior Test Consultant – Security</w:t>
      </w:r>
      <w:r>
        <w:rPr>
          <w:rFonts w:ascii="Calibri" w:hAnsi="Calibri" w:eastAsia="Calibri" w:cs="Calibri"/>
          <w:b w:val="0"/>
          <w:bCs w:val="0"/>
          <w:i w:val="0"/>
          <w:iCs w:val="0"/>
          <w:color w:val="6B7280"/>
          <w:sz w:val="20"/>
          <w:szCs w:val="20"/>
        </w:rPr>
        <w:t xml:space="preserve">  |  </w:t>
      </w:r>
      <w:r>
        <w:rPr>
          <w:rFonts w:ascii="Calibri" w:hAnsi="Calibri" w:eastAsia="Calibri" w:cs="Calibri"/>
          <w:b/>
          <w:bCs/>
          <w:i w:val="0"/>
          <w:iCs w:val="0"/>
          <w:color w:val="1A56A0"/>
          <w:sz w:val="20"/>
          <w:szCs w:val="20"/>
        </w:rPr>
        <w:t>Samba Financial Group</w:t>
      </w:r>
      <w:r>
        <w:rPr>
          <w:rFonts w:ascii="Calibri" w:hAnsi="Calibri" w:eastAsia="Calibri" w:cs="Calibri"/>
          <w:b w:val="0"/>
          <w:bCs w:val="0"/>
          <w:i w:val="0"/>
          <w:iCs w:val="0"/>
          <w:color w:val="6B7280"/>
          <w:sz w:val="20"/>
          <w:szCs w:val="20"/>
        </w:rPr>
        <w:t xml:space="preserve">  |  Riyadh, Saudi Arabia</w:t>
      </w:r>
      <w:r>
        <w:rPr>
          <w:rFonts w:ascii="Calibri" w:hAnsi="Calibri" w:eastAsia="Calibri" w:cs="Calibri"/>
          <w:sz w:val="20"/>
          <w:szCs w:val="20"/>
        </w:rPr>
        <w:tab/>
      </w:r>
      <w:r>
        <w:rPr>
          <w:rFonts w:ascii="Calibri" w:hAnsi="Calibri" w:eastAsia="Calibri" w:cs="Calibri"/>
          <w:b w:val="0"/>
          <w:bCs w:val="0"/>
          <w:i/>
          <w:iCs/>
          <w:color w:val="6B7280"/>
          <w:sz w:val="20"/>
          <w:szCs w:val="20"/>
        </w:rPr>
        <w:t>Feb 2014 – Nov 2015</w:t>
      </w:r>
    </w:p>
    <w:p w14:paraId="7FD5D7AA">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Led security testing and vulnerability assessments for core banking applications and digital channels</w:t>
      </w:r>
      <w:r>
        <w:rPr>
          <w:rFonts w:hint="default" w:cs="Calibri"/>
          <w:b w:val="0"/>
          <w:bCs w:val="0"/>
          <w:i w:val="0"/>
          <w:iCs w:val="0"/>
          <w:color w:val="1F2937"/>
          <w:sz w:val="20"/>
          <w:szCs w:val="20"/>
          <w:lang w:val="en-GB"/>
        </w:rPr>
        <w:t>.</w:t>
      </w:r>
    </w:p>
    <w:p w14:paraId="36D1AA30">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Conducted penetration testing, security code reviews, and compliance testing against PCI-DSS and SAMA requirements</w:t>
      </w:r>
      <w:r>
        <w:rPr>
          <w:rFonts w:hint="default" w:cs="Calibri"/>
          <w:b w:val="0"/>
          <w:bCs w:val="0"/>
          <w:i w:val="0"/>
          <w:iCs w:val="0"/>
          <w:color w:val="1F2937"/>
          <w:sz w:val="20"/>
          <w:szCs w:val="20"/>
          <w:lang w:val="en-GB"/>
        </w:rPr>
        <w:t>.</w:t>
      </w:r>
    </w:p>
    <w:p w14:paraId="7566BE5A">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Developed security test frameworks reducing vulnerability detection time by 40%</w:t>
      </w:r>
      <w:r>
        <w:rPr>
          <w:rFonts w:hint="default" w:cs="Calibri"/>
          <w:b w:val="0"/>
          <w:bCs w:val="0"/>
          <w:i w:val="0"/>
          <w:iCs w:val="0"/>
          <w:color w:val="1F2937"/>
          <w:sz w:val="20"/>
          <w:szCs w:val="20"/>
          <w:lang w:val="en-GB"/>
        </w:rPr>
        <w:t>.</w:t>
      </w:r>
    </w:p>
    <w:p w14:paraId="0A6D1660">
      <w:pPr>
        <w:pBdr>
          <w:bottom w:val="single" w:color="1A56A0" w:sz="6" w:space="4"/>
        </w:pBdr>
        <w:spacing w:before="160" w:after="40"/>
        <w:jc w:val="left"/>
      </w:pPr>
      <w:r>
        <w:rPr>
          <w:rFonts w:ascii="Calibri" w:hAnsi="Calibri" w:eastAsia="Calibri" w:cs="Calibri"/>
          <w:b/>
          <w:bCs/>
          <w:i w:val="0"/>
          <w:iCs w:val="0"/>
          <w:color w:val="1A56A0"/>
          <w:sz w:val="20"/>
          <w:szCs w:val="20"/>
        </w:rPr>
        <w:t>CERTIFICATIONS</w:t>
      </w:r>
    </w:p>
    <w:p w14:paraId="7070A660">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AWS Certified AI Practitioner (2024)</w:t>
      </w:r>
    </w:p>
    <w:p w14:paraId="625DA4C3">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AWS Solutions Architect – Associate (2023)</w:t>
      </w:r>
    </w:p>
    <w:p w14:paraId="34569B36">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Microsoft Azure AI Fundamentals (AI-900)</w:t>
      </w:r>
    </w:p>
    <w:p w14:paraId="2C7C4D6B">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Microsoft Azure Security, Compliance &amp; Identity Fundamentals (SC-900)</w:t>
      </w:r>
    </w:p>
    <w:p w14:paraId="561A471B">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Google Cloud – AI Leader</w:t>
      </w:r>
    </w:p>
    <w:p w14:paraId="6648EDAA">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Oracle Cloud Infrastructure AI Certifications</w:t>
      </w:r>
    </w:p>
    <w:p w14:paraId="404709E4">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ITIL Foundation</w:t>
      </w:r>
    </w:p>
    <w:p w14:paraId="4858499D">
      <w:pPr>
        <w:pStyle w:val="14"/>
        <w:numPr>
          <w:ilvl w:val="0"/>
          <w:numId w:val="1"/>
        </w:numPr>
        <w:spacing w:before="20" w:after="20"/>
        <w:ind w:left="360"/>
        <w:jc w:val="left"/>
      </w:pPr>
      <w:r>
        <w:rPr>
          <w:rFonts w:ascii="Calibri" w:hAnsi="Calibri" w:eastAsia="Calibri" w:cs="Calibri"/>
          <w:b w:val="0"/>
          <w:bCs w:val="0"/>
          <w:i w:val="0"/>
          <w:iCs w:val="0"/>
          <w:color w:val="1F2937"/>
          <w:sz w:val="20"/>
          <w:szCs w:val="20"/>
        </w:rPr>
        <w:t>CISSP – In Progress (Expected 2026)</w:t>
      </w:r>
    </w:p>
    <w:p w14:paraId="65D40A3D">
      <w:pPr>
        <w:pBdr>
          <w:bottom w:val="single" w:color="1A56A0" w:sz="6" w:space="4"/>
        </w:pBdr>
        <w:spacing w:before="160" w:after="40"/>
        <w:jc w:val="left"/>
      </w:pPr>
      <w:r>
        <w:rPr>
          <w:rFonts w:ascii="Calibri" w:hAnsi="Calibri" w:eastAsia="Calibri" w:cs="Calibri"/>
          <w:b/>
          <w:bCs/>
          <w:i w:val="0"/>
          <w:iCs w:val="0"/>
          <w:color w:val="1A56A0"/>
          <w:sz w:val="20"/>
          <w:szCs w:val="20"/>
        </w:rPr>
        <w:t>EDUCATION</w:t>
      </w:r>
    </w:p>
    <w:p w14:paraId="31D9E0E1">
      <w:pPr>
        <w:spacing w:before="60" w:after="20"/>
        <w:jc w:val="left"/>
      </w:pPr>
      <w:r>
        <w:rPr>
          <w:rFonts w:ascii="Calibri" w:hAnsi="Calibri" w:eastAsia="Calibri" w:cs="Calibri"/>
          <w:b/>
          <w:bCs/>
          <w:i w:val="0"/>
          <w:iCs w:val="0"/>
          <w:color w:val="1F2937"/>
          <w:sz w:val="20"/>
          <w:szCs w:val="20"/>
        </w:rPr>
        <w:t>Master of Science, Computer Science</w:t>
      </w:r>
      <w:r>
        <w:rPr>
          <w:rFonts w:ascii="Calibri" w:hAnsi="Calibri" w:eastAsia="Calibri" w:cs="Calibri"/>
          <w:b w:val="0"/>
          <w:bCs w:val="0"/>
          <w:i w:val="0"/>
          <w:iCs w:val="0"/>
          <w:color w:val="6B7280"/>
          <w:sz w:val="20"/>
          <w:szCs w:val="20"/>
        </w:rPr>
        <w:t xml:space="preserve">  –  Bharathidasan University, Tiruchirappalli, India</w:t>
      </w:r>
    </w:p>
    <w:p w14:paraId="59C60E82">
      <w:pPr>
        <w:spacing w:before="20" w:after="20"/>
        <w:jc w:val="left"/>
      </w:pPr>
      <w:r>
        <w:rPr>
          <w:rFonts w:ascii="Calibri" w:hAnsi="Calibri" w:eastAsia="Calibri" w:cs="Calibri"/>
          <w:b/>
          <w:bCs/>
          <w:i w:val="0"/>
          <w:iCs w:val="0"/>
          <w:color w:val="1F2937"/>
          <w:sz w:val="20"/>
          <w:szCs w:val="20"/>
        </w:rPr>
        <w:t>Bachelor of Science, Computer Science</w:t>
      </w:r>
      <w:r>
        <w:rPr>
          <w:rFonts w:ascii="Calibri" w:hAnsi="Calibri" w:eastAsia="Calibri" w:cs="Calibri"/>
          <w:b w:val="0"/>
          <w:bCs w:val="0"/>
          <w:i w:val="0"/>
          <w:iCs w:val="0"/>
          <w:color w:val="6B7280"/>
          <w:sz w:val="20"/>
          <w:szCs w:val="20"/>
        </w:rPr>
        <w:t xml:space="preserve">  –  St. Joseph's College (Autonomous), Tiruchirappalli, India</w:t>
      </w:r>
    </w:p>
    <w:sectPr>
      <w:pgSz w:w="12240" w:h="15840"/>
      <w:pgMar w:top="900" w:right="1080" w:bottom="9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40C410D"/>
    <w:rsid w:val="45BF0069"/>
    <w:rsid w:val="79921D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2937"/>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color w:val="1F2937"/>
      <w:sz w:val="20"/>
      <w:szCs w:val="20"/>
    </w:rPr>
  </w:style>
  <w:style w:type="character" w:styleId="12">
    <w:name w:val="Hyperlink"/>
    <w:unhideWhenUsed/>
    <w:qFormat/>
    <w:uiPriority w:val="99"/>
    <w:rPr>
      <w:color w:val="0563C1"/>
      <w:u w:val="single"/>
    </w:rPr>
  </w:style>
  <w:style w:type="paragraph" w:styleId="13">
    <w:name w:val="Title"/>
    <w:qFormat/>
    <w:uiPriority w:val="0"/>
    <w:rPr>
      <w:rFonts w:ascii="Calibri" w:hAnsi="Calibri" w:eastAsia="Calibri" w:cs="Calibri"/>
      <w:color w:val="1F2937"/>
      <w:sz w:val="56"/>
      <w:szCs w:val="56"/>
    </w:rPr>
  </w:style>
  <w:style w:type="paragraph" w:styleId="14">
    <w:name w:val="List Paragraph"/>
    <w:qFormat/>
    <w:uiPriority w:val="0"/>
    <w:rPr>
      <w:rFonts w:ascii="Calibri" w:hAnsi="Calibri" w:eastAsia="Calibri" w:cs="Calibri"/>
      <w:color w:val="1F2937"/>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977</Words>
  <Characters>6325</Characters>
  <TotalTime>4</TotalTime>
  <ScaleCrop>false</ScaleCrop>
  <LinksUpToDate>false</LinksUpToDate>
  <CharactersWithSpaces>7282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2026-03-21T06:13:00Z</dcterms:created>
  <dc:creator>Un-named</dc:creator>
  <cp:lastModifiedBy>Joseph Inbaraj</cp:lastModifiedBy>
  <dcterms:modified xsi:type="dcterms:W3CDTF">2026-04-06T07:35:07Z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eyJoZGlkIjoiOTRlZDI4ZTM4OTc0YTg3MDkwZWQ1OTQwMjAzODM3MGEiLCJ1c2VySWQiOiI1NjcwNDQyNzQwNzkifQ==</vt:lpwstr>
  </property>
  <property fmtid="{D5CDD505-2E9C-101B-9397-08002B2CF9AE}" pid="3" name="KSOProductBuildVer">
    <vt:lpwstr>1033-12.1.0.25242</vt:lpwstr>
  </property>
  <property fmtid="{D5CDD505-2E9C-101B-9397-08002B2CF9AE}" pid="4" name="ICV">
    <vt:lpwstr>19DD1F21C8304AA880CB00BA889EF7D7_12</vt:lpwstr>
  </property>
</Properties>
</file>