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AROGYA LINK</w:t>
      </w:r>
    </w:p>
    <w:p>
      <w:pPr>
        <w:jc w:val="center"/>
      </w:pPr>
      <w:r>
        <w:rPr>
          <w:i/>
          <w:sz w:val="18"/>
        </w:rPr>
        <w:t>Implementation Documentation — SIH 2026</w:t>
      </w:r>
    </w:p>
    <w:p>
      <w:pPr>
        <w:pStyle w:val="Title"/>
      </w:pPr>
      <w:r>
        <w:t>05 — Design.md | UI / UX Design Specification</w:t>
      </w:r>
    </w:p>
    <w:p>
      <w:r>
        <w:t>Purpose: Define the visual and interaction system for the patient kiosk and doctor dashboard. The source plan specifies React/Vite, Tailwind CSS or CSS, shared design tokens, large kiosk touch targets, responsive interfaces, clear offline status, dashboard queue/detail views, and live alert UI. Exact brand colors and font families are not specified in the source; the values below are therefore implementation recommendations.</w:t>
      </w:r>
    </w:p>
    <w:p>
      <w:pPr>
        <w:pStyle w:val="Heading1"/>
      </w:pPr>
      <w:r>
        <w:t>1. Design Principles</w:t>
      </w:r>
    </w:p>
    <w:p>
      <w:pPr>
        <w:pStyle w:val="ListNumber"/>
      </w:pPr>
      <w:r>
        <w:t>Patient-first: the kiosk must be understandable without technical knowledge.</w:t>
      </w:r>
    </w:p>
    <w:p>
      <w:pPr>
        <w:pStyle w:val="ListNumber"/>
      </w:pPr>
      <w:r>
        <w:t>Touch-first: use large controls and avoid keyboard-dependent interactions.</w:t>
      </w:r>
    </w:p>
    <w:p>
      <w:pPr>
        <w:pStyle w:val="ListNumber"/>
      </w:pPr>
      <w:r>
        <w:t>Clinical clarity: separate patient-reported information, OCR evidence, deterministic red flags and AI-generated summaries.</w:t>
      </w:r>
    </w:p>
    <w:p>
      <w:pPr>
        <w:pStyle w:val="ListNumber"/>
      </w:pPr>
      <w:r>
        <w:t>Safety visibility: high-severity escalation states must be visually prominent without relying on color alone.</w:t>
      </w:r>
    </w:p>
    <w:p>
      <w:pPr>
        <w:pStyle w:val="ListNumber"/>
      </w:pPr>
      <w:r>
        <w:t>Progressive disclosure: show essential information first and details on demand.</w:t>
      </w:r>
    </w:p>
    <w:p>
      <w:pPr>
        <w:pStyle w:val="ListNumber"/>
      </w:pPr>
      <w:r>
        <w:t>Failure transparency: clearly show offline, OCR pending, voice failure and AI-unavailable states.</w:t>
      </w:r>
    </w:p>
    <w:p>
      <w:pPr>
        <w:pStyle w:val="ListNumber"/>
      </w:pPr>
      <w:r>
        <w:t>Doctor authority: UI must communicate that the doctor reviews and approves AI-generated content.</w:t>
      </w:r>
    </w:p>
    <w:p>
      <w:pPr>
        <w:pStyle w:val="Heading1"/>
      </w:pPr>
      <w:r>
        <w:t>2. Visual System — Recommended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Token</w:t>
            </w:r>
          </w:p>
        </w:tc>
        <w:tc>
          <w:tcPr>
            <w:tcW w:type="dxa" w:w="3408"/>
            <w:shd w:fill="D9EAF7"/>
          </w:tcPr>
          <w:p>
            <w:r>
              <w:t>Recommended Value</w:t>
            </w:r>
          </w:p>
        </w:tc>
        <w:tc>
          <w:tcPr>
            <w:tcW w:type="dxa" w:w="3408"/>
            <w:shd w:fill="D9EAF7"/>
          </w:tcPr>
          <w:p>
            <w:r>
              <w:t>Use</w:t>
            </w:r>
          </w:p>
        </w:tc>
      </w:tr>
      <w:tr>
        <w:tc>
          <w:tcPr>
            <w:tcW w:type="dxa" w:w="3408"/>
          </w:tcPr>
          <w:p>
            <w:r>
              <w:t>Primary</w:t>
            </w:r>
          </w:p>
        </w:tc>
        <w:tc>
          <w:tcPr>
            <w:tcW w:type="dxa" w:w="3408"/>
          </w:tcPr>
          <w:p>
            <w:r>
              <w:t>#0F766E</w:t>
            </w:r>
          </w:p>
        </w:tc>
        <w:tc>
          <w:tcPr>
            <w:tcW w:type="dxa" w:w="3408"/>
          </w:tcPr>
          <w:p>
            <w:r>
              <w:t>Main actions, brand accents, navigation.</w:t>
            </w:r>
          </w:p>
        </w:tc>
      </w:tr>
      <w:tr>
        <w:tc>
          <w:tcPr>
            <w:tcW w:type="dxa" w:w="3408"/>
          </w:tcPr>
          <w:p>
            <w:r>
              <w:t>Background</w:t>
            </w:r>
          </w:p>
        </w:tc>
        <w:tc>
          <w:tcPr>
            <w:tcW w:type="dxa" w:w="3408"/>
          </w:tcPr>
          <w:p>
            <w:r>
              <w:t>#F8FAFC</w:t>
            </w:r>
          </w:p>
        </w:tc>
        <w:tc>
          <w:tcPr>
            <w:tcW w:type="dxa" w:w="3408"/>
          </w:tcPr>
          <w:p>
            <w:r>
              <w:t>Application canvas.</w:t>
            </w:r>
          </w:p>
        </w:tc>
      </w:tr>
      <w:tr>
        <w:tc>
          <w:tcPr>
            <w:tcW w:type="dxa" w:w="3408"/>
          </w:tcPr>
          <w:p>
            <w:r>
              <w:t>Surface</w:t>
            </w:r>
          </w:p>
        </w:tc>
        <w:tc>
          <w:tcPr>
            <w:tcW w:type="dxa" w:w="3408"/>
          </w:tcPr>
          <w:p>
            <w:r>
              <w:t>#FFFFFF</w:t>
            </w:r>
          </w:p>
        </w:tc>
        <w:tc>
          <w:tcPr>
            <w:tcW w:type="dxa" w:w="3408"/>
          </w:tcPr>
          <w:p>
            <w:r>
              <w:t>Cards, forms and panels.</w:t>
            </w:r>
          </w:p>
        </w:tc>
      </w:tr>
      <w:tr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#0F172A</w:t>
            </w:r>
          </w:p>
        </w:tc>
        <w:tc>
          <w:tcPr>
            <w:tcW w:type="dxa" w:w="3408"/>
          </w:tcPr>
          <w:p>
            <w:r>
              <w:t>Primary text.</w:t>
            </w:r>
          </w:p>
        </w:tc>
      </w:tr>
      <w:tr>
        <w:tc>
          <w:tcPr>
            <w:tcW w:type="dxa" w:w="3408"/>
          </w:tcPr>
          <w:p>
            <w:r>
              <w:t>Muted Text</w:t>
            </w:r>
          </w:p>
        </w:tc>
        <w:tc>
          <w:tcPr>
            <w:tcW w:type="dxa" w:w="3408"/>
          </w:tcPr>
          <w:p>
            <w:r>
              <w:t>#475569</w:t>
            </w:r>
          </w:p>
        </w:tc>
        <w:tc>
          <w:tcPr>
            <w:tcW w:type="dxa" w:w="3408"/>
          </w:tcPr>
          <w:p>
            <w:r>
              <w:t>Supporting information.</w:t>
            </w:r>
          </w:p>
        </w:tc>
      </w:tr>
      <w:tr>
        <w:tc>
          <w:tcPr>
            <w:tcW w:type="dxa" w:w="3408"/>
          </w:tcPr>
          <w:p>
            <w:r>
              <w:t>Success</w:t>
            </w:r>
          </w:p>
        </w:tc>
        <w:tc>
          <w:tcPr>
            <w:tcW w:type="dxa" w:w="3408"/>
          </w:tcPr>
          <w:p>
            <w:r>
              <w:t>#15803D</w:t>
            </w:r>
          </w:p>
        </w:tc>
        <w:tc>
          <w:tcPr>
            <w:tcW w:type="dxa" w:w="3408"/>
          </w:tcPr>
          <w:p>
            <w:r>
              <w:t>Completed/approved states.</w:t>
            </w:r>
          </w:p>
        </w:tc>
      </w:tr>
      <w:tr>
        <w:tc>
          <w:tcPr>
            <w:tcW w:type="dxa" w:w="3408"/>
          </w:tcPr>
          <w:p>
            <w:r>
              <w:t>Warning</w:t>
            </w:r>
          </w:p>
        </w:tc>
        <w:tc>
          <w:tcPr>
            <w:tcW w:type="dxa" w:w="3408"/>
          </w:tcPr>
          <w:p>
            <w:r>
              <w:t>#B45309</w:t>
            </w:r>
          </w:p>
        </w:tc>
        <w:tc>
          <w:tcPr>
            <w:tcW w:type="dxa" w:w="3408"/>
          </w:tcPr>
          <w:p>
            <w:r>
              <w:t>Medium-risk and attention states.</w:t>
            </w:r>
          </w:p>
        </w:tc>
      </w:tr>
      <w:tr>
        <w:tc>
          <w:tcPr>
            <w:tcW w:type="dxa" w:w="3408"/>
          </w:tcPr>
          <w:p>
            <w:r>
              <w:t>Critical</w:t>
            </w:r>
          </w:p>
        </w:tc>
        <w:tc>
          <w:tcPr>
            <w:tcW w:type="dxa" w:w="3408"/>
          </w:tcPr>
          <w:p>
            <w:r>
              <w:t>#B91C1C</w:t>
            </w:r>
          </w:p>
        </w:tc>
        <w:tc>
          <w:tcPr>
            <w:tcW w:type="dxa" w:w="3408"/>
          </w:tcPr>
          <w:p>
            <w:r>
              <w:t>High-severity escalation states.</w:t>
            </w:r>
          </w:p>
        </w:tc>
      </w:tr>
      <w:tr>
        <w:tc>
          <w:tcPr>
            <w:tcW w:type="dxa" w:w="3408"/>
          </w:tcPr>
          <w:p>
            <w:r>
              <w:t>Border</w:t>
            </w:r>
          </w:p>
        </w:tc>
        <w:tc>
          <w:tcPr>
            <w:tcW w:type="dxa" w:w="3408"/>
          </w:tcPr>
          <w:p>
            <w:r>
              <w:t>#CBD5E1</w:t>
            </w:r>
          </w:p>
        </w:tc>
        <w:tc>
          <w:tcPr>
            <w:tcW w:type="dxa" w:w="3408"/>
          </w:tcPr>
          <w:p>
            <w:r>
              <w:t>Input/card boundaries.</w:t>
            </w:r>
          </w:p>
        </w:tc>
      </w:tr>
    </w:tbl>
    <w:p>
      <w:r>
        <w:t>These values are recommended design tokens, not values specified by the supplied implementation plan.</w:t>
      </w:r>
    </w:p>
    <w:p>
      <w:pPr>
        <w:pStyle w:val="Heading1"/>
      </w:pPr>
      <w:r>
        <w:t>3. Typography</w:t>
      </w:r>
    </w:p>
    <w:p>
      <w:pPr>
        <w:pStyle w:val="ListBullet"/>
      </w:pPr>
      <w:r>
        <w:t>Recommended family: Inter or a system sans-serif stack for readability.</w:t>
      </w:r>
    </w:p>
    <w:p>
      <w:pPr>
        <w:pStyle w:val="ListBullet"/>
      </w:pPr>
      <w:r>
        <w:t>Patient kiosk: larger base size (approximately 18–20 px) with strong line height.</w:t>
      </w:r>
    </w:p>
    <w:p>
      <w:pPr>
        <w:pStyle w:val="ListBullet"/>
      </w:pPr>
      <w:r>
        <w:t>Doctor dashboard: approximately 14–16 px base size, with 18–24 px section headings.</w:t>
      </w:r>
    </w:p>
    <w:p>
      <w:pPr>
        <w:pStyle w:val="ListBullet"/>
      </w:pPr>
      <w:r>
        <w:t>Avoid dense paragraphs in the kiosk; use short labels and clear question text.</w:t>
      </w:r>
    </w:p>
    <w:p>
      <w:pPr>
        <w:pStyle w:val="Heading1"/>
      </w:pPr>
      <w:r>
        <w:t>4. Patient Kiosk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Screen</w:t>
            </w:r>
          </w:p>
        </w:tc>
        <w:tc>
          <w:tcPr>
            <w:tcW w:type="dxa" w:w="3408"/>
            <w:shd w:fill="D9EAF7"/>
          </w:tcPr>
          <w:p>
            <w:r>
              <w:t>Key Components</w:t>
            </w:r>
          </w:p>
        </w:tc>
        <w:tc>
          <w:tcPr>
            <w:tcW w:type="dxa" w:w="3408"/>
            <w:shd w:fill="D9EAF7"/>
          </w:tcPr>
          <w:p>
            <w:r>
              <w:t>Interaction Rule</w:t>
            </w:r>
          </w:p>
        </w:tc>
      </w:tr>
      <w:tr>
        <w:tc>
          <w:tcPr>
            <w:tcW w:type="dxa" w:w="3408"/>
          </w:tcPr>
          <w:p>
            <w:r>
              <w:t>Welcome / Start</w:t>
            </w:r>
          </w:p>
        </w:tc>
        <w:tc>
          <w:tcPr>
            <w:tcW w:type="dxa" w:w="3408"/>
          </w:tcPr>
          <w:p>
            <w:r>
              <w:t>Start encounter, language selection</w:t>
            </w:r>
          </w:p>
        </w:tc>
        <w:tc>
          <w:tcPr>
            <w:tcW w:type="dxa" w:w="3408"/>
          </w:tcPr>
          <w:p>
            <w:r>
              <w:t>One dominant primary action.</w:t>
            </w:r>
          </w:p>
        </w:tc>
      </w:tr>
      <w:tr>
        <w:tc>
          <w:tcPr>
            <w:tcW w:type="dxa" w:w="3408"/>
          </w:tcPr>
          <w:p>
            <w:r>
              <w:t>Consent</w:t>
            </w:r>
          </w:p>
        </w:tc>
        <w:tc>
          <w:tcPr>
            <w:tcW w:type="dxa" w:w="3408"/>
          </w:tcPr>
          <w:p>
            <w:r>
              <w:t>Consent text/version, affirmative action</w:t>
            </w:r>
          </w:p>
        </w:tc>
        <w:tc>
          <w:tcPr>
            <w:tcW w:type="dxa" w:w="3408"/>
          </w:tcPr>
          <w:p>
            <w:r>
              <w:t>Clinical recording cannot begin until consent is explicitly accepted.</w:t>
            </w:r>
          </w:p>
        </w:tc>
      </w:tr>
      <w:tr>
        <w:tc>
          <w:tcPr>
            <w:tcW w:type="dxa" w:w="3408"/>
          </w:tcPr>
          <w:p>
            <w:r>
              <w:t>Complaint Selection</w:t>
            </w:r>
          </w:p>
        </w:tc>
        <w:tc>
          <w:tcPr>
            <w:tcW w:type="dxa" w:w="3408"/>
          </w:tcPr>
          <w:p>
            <w:r>
              <w:t>Complaint cards/buttons</w:t>
            </w:r>
          </w:p>
        </w:tc>
        <w:tc>
          <w:tcPr>
            <w:tcW w:type="dxa" w:w="3408"/>
          </w:tcPr>
          <w:p>
            <w:r>
              <w:t>Large touch targets; minimal text.</w:t>
            </w:r>
          </w:p>
        </w:tc>
      </w:tr>
      <w:tr>
        <w:tc>
          <w:tcPr>
            <w:tcW w:type="dxa" w:w="3408"/>
          </w:tcPr>
          <w:p>
            <w:r>
              <w:t>Adaptive Question</w:t>
            </w:r>
          </w:p>
        </w:tc>
        <w:tc>
          <w:tcPr>
            <w:tcW w:type="dxa" w:w="3408"/>
          </w:tcPr>
          <w:p>
            <w:r>
              <w:t>Question, answer controls, progress indicator, Back/Next</w:t>
            </w:r>
          </w:p>
        </w:tc>
        <w:tc>
          <w:tcPr>
            <w:tcW w:type="dxa" w:w="3408"/>
          </w:tcPr>
          <w:p>
            <w:r>
              <w:t>Branching is driven by backend response, not frontend logic.</w:t>
            </w:r>
          </w:p>
        </w:tc>
      </w:tr>
      <w:tr>
        <w:tc>
          <w:tcPr>
            <w:tcW w:type="dxa" w:w="3408"/>
          </w:tcPr>
          <w:p>
            <w:r>
              <w:t>Voice Input</w:t>
            </w:r>
          </w:p>
        </w:tc>
        <w:tc>
          <w:tcPr>
            <w:tcW w:type="dxa" w:w="3408"/>
          </w:tcPr>
          <w:p>
            <w:r>
              <w:t>Record, processing, transcript confirmation</w:t>
            </w:r>
          </w:p>
        </w:tc>
        <w:tc>
          <w:tcPr>
            <w:tcW w:type="dxa" w:w="3408"/>
          </w:tcPr>
          <w:p>
            <w:r>
              <w:t>Never save transcript without explicit confirmation.</w:t>
            </w:r>
          </w:p>
        </w:tc>
      </w:tr>
      <w:tr>
        <w:tc>
          <w:tcPr>
            <w:tcW w:type="dxa" w:w="3408"/>
          </w:tcPr>
          <w:p>
            <w:r>
              <w:t>Documents</w:t>
            </w:r>
          </w:p>
        </w:tc>
        <w:tc>
          <w:tcPr>
            <w:tcW w:type="dxa" w:w="3408"/>
          </w:tcPr>
          <w:p>
            <w:r>
              <w:t>Upload/capture, status</w:t>
            </w:r>
          </w:p>
        </w:tc>
        <w:tc>
          <w:tcPr>
            <w:tcW w:type="dxa" w:w="3408"/>
          </w:tcPr>
          <w:p>
            <w:r>
              <w:t>Show pending/complete/failure states.</w:t>
            </w:r>
          </w:p>
        </w:tc>
      </w:tr>
      <w:tr>
        <w:tc>
          <w:tcPr>
            <w:tcW w:type="dxa" w:w="3408"/>
          </w:tcPr>
          <w:p>
            <w:r>
              <w:t>Offline</w:t>
            </w:r>
          </w:p>
        </w:tc>
        <w:tc>
          <w:tcPr>
            <w:tcW w:type="dxa" w:w="3408"/>
          </w:tcPr>
          <w:p>
            <w:r>
              <w:t>Offline banner/status, queued count</w:t>
            </w:r>
          </w:p>
        </w:tc>
        <w:tc>
          <w:tcPr>
            <w:tcW w:type="dxa" w:w="3408"/>
          </w:tcPr>
          <w:p>
            <w:r>
              <w:t>Explain that answers are queued and will sync.</w:t>
            </w:r>
          </w:p>
        </w:tc>
      </w:tr>
      <w:tr>
        <w:tc>
          <w:tcPr>
            <w:tcW w:type="dxa" w:w="3408"/>
          </w:tcPr>
          <w:p>
            <w:r>
              <w:t>Completion</w:t>
            </w:r>
          </w:p>
        </w:tc>
        <w:tc>
          <w:tcPr>
            <w:tcW w:type="dxa" w:w="3408"/>
          </w:tcPr>
          <w:p>
            <w:r>
              <w:t>Completion state / next instruction</w:t>
            </w:r>
          </w:p>
        </w:tc>
        <w:tc>
          <w:tcPr>
            <w:tcW w:type="dxa" w:w="3408"/>
          </w:tcPr>
          <w:p>
            <w:r>
              <w:t>Do not expose internal technical errors.</w:t>
            </w:r>
          </w:p>
        </w:tc>
      </w:tr>
    </w:tbl>
    <w:p>
      <w:pPr>
        <w:pStyle w:val="Heading1"/>
      </w:pPr>
      <w:r>
        <w:t>5. Doctor Dashboard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Screen</w:t>
            </w:r>
          </w:p>
        </w:tc>
        <w:tc>
          <w:tcPr>
            <w:tcW w:type="dxa" w:w="5112"/>
            <w:shd w:fill="D9EAF7"/>
          </w:tcPr>
          <w:p>
            <w:r>
              <w:t>Key Components</w:t>
            </w:r>
          </w:p>
        </w:tc>
      </w:tr>
      <w:tr>
        <w:tc>
          <w:tcPr>
            <w:tcW w:type="dxa" w:w="5112"/>
          </w:tcPr>
          <w:p>
            <w:r>
              <w:t>Login</w:t>
            </w:r>
          </w:p>
        </w:tc>
        <w:tc>
          <w:tcPr>
            <w:tcW w:type="dxa" w:w="5112"/>
          </w:tcPr>
          <w:p>
            <w:r>
              <w:t>Supabase email/password login, loading/error state.</w:t>
            </w:r>
          </w:p>
        </w:tc>
      </w:tr>
      <w:tr>
        <w:tc>
          <w:tcPr>
            <w:tcW w:type="dxa" w:w="5112"/>
          </w:tcPr>
          <w:p>
            <w:r>
              <w:t>Queue</w:t>
            </w:r>
          </w:p>
        </w:tc>
        <w:tc>
          <w:tcPr>
            <w:tcW w:type="dxa" w:w="5112"/>
          </w:tcPr>
          <w:p>
            <w:r>
              <w:t>Open encounters, severity/escalation priority, status and filters.</w:t>
            </w:r>
          </w:p>
        </w:tc>
      </w:tr>
      <w:tr>
        <w:tc>
          <w:tcPr>
            <w:tcW w:type="dxa" w:w="5112"/>
          </w:tcPr>
          <w:p>
            <w:r>
              <w:t>Patient Detail</w:t>
            </w:r>
          </w:p>
        </w:tc>
        <w:tc>
          <w:tcPr>
            <w:tcW w:type="dxa" w:w="5112"/>
          </w:tcPr>
          <w:p>
            <w:r>
              <w:t>Answers, red flags, documents/OCR, summary, contradictions, timeline.</w:t>
            </w:r>
          </w:p>
        </w:tc>
      </w:tr>
      <w:tr>
        <w:tc>
          <w:tcPr>
            <w:tcW w:type="dxa" w:w="5112"/>
          </w:tcPr>
          <w:p>
            <w:r>
              <w:t>Live Alert</w:t>
            </w:r>
          </w:p>
        </w:tc>
        <w:tc>
          <w:tcPr>
            <w:tcW w:type="dxa" w:w="5112"/>
          </w:tcPr>
          <w:p>
            <w:r>
              <w:t>Toast/banner with encounter and severity plus direct navigation.</w:t>
            </w:r>
          </w:p>
        </w:tc>
      </w:tr>
      <w:tr>
        <w:tc>
          <w:tcPr>
            <w:tcW w:type="dxa" w:w="5112"/>
          </w:tcPr>
          <w:p>
            <w:r>
              <w:t>Summary Review</w:t>
            </w:r>
          </w:p>
        </w:tc>
        <w:tc>
          <w:tcPr>
            <w:tcW w:type="dxa" w:w="5112"/>
          </w:tcPr>
          <w:p>
            <w:r>
              <w:t>Gemini draft, provenance where enabled, edit and approve actions.</w:t>
            </w:r>
          </w:p>
        </w:tc>
      </w:tr>
      <w:tr>
        <w:tc>
          <w:tcPr>
            <w:tcW w:type="dxa" w:w="5112"/>
          </w:tcPr>
          <w:p>
            <w:r>
              <w:t>Audit View</w:t>
            </w:r>
          </w:p>
        </w:tc>
        <w:tc>
          <w:tcPr>
            <w:tcW w:type="dxa" w:w="5112"/>
          </w:tcPr>
          <w:p>
            <w:r>
              <w:t>Permitted audit events for admin.</w:t>
            </w:r>
          </w:p>
        </w:tc>
      </w:tr>
      <w:tr>
        <w:tc>
          <w:tcPr>
            <w:tcW w:type="dxa" w:w="5112"/>
          </w:tcPr>
          <w:p>
            <w:r>
              <w:t>History / Export</w:t>
            </w:r>
          </w:p>
        </w:tc>
        <w:tc>
          <w:tcPr>
            <w:tcW w:type="dxa" w:w="5112"/>
          </w:tcPr>
          <w:p>
            <w:r>
              <w:t>Chronological timeline and FHIR-compatible JSON export.</w:t>
            </w:r>
          </w:p>
        </w:tc>
      </w:tr>
    </w:tbl>
    <w:p>
      <w:pPr>
        <w:pStyle w:val="Heading1"/>
      </w:pPr>
      <w:r>
        <w:t>6. Accessibility &amp; Safety UX</w:t>
      </w:r>
    </w:p>
    <w:p>
      <w:pPr>
        <w:pStyle w:val="ListBullet"/>
      </w:pPr>
      <w:r>
        <w:t>Do not encode critical states by color alone; pair color with labels/icons/text.</w:t>
      </w:r>
    </w:p>
    <w:p>
      <w:pPr>
        <w:pStyle w:val="ListBullet"/>
      </w:pPr>
      <w:r>
        <w:t>Maintain strong contrast and visible focus states.</w:t>
      </w:r>
    </w:p>
    <w:p>
      <w:pPr>
        <w:pStyle w:val="ListBullet"/>
      </w:pPr>
      <w:r>
        <w:t>Use touch targets large enough for kiosk use.</w:t>
      </w:r>
    </w:p>
    <w:p>
      <w:pPr>
        <w:pStyle w:val="ListBullet"/>
      </w:pPr>
      <w:r>
        <w:t>Confirm destructive or clinically meaningful actions.</w:t>
      </w:r>
    </w:p>
    <w:p>
      <w:pPr>
        <w:pStyle w:val="ListBullet"/>
      </w:pPr>
      <w:r>
        <w:t>Make loading, pending, failed and offline states explicit.</w:t>
      </w:r>
    </w:p>
    <w:p>
      <w:pPr>
        <w:pStyle w:val="ListBullet"/>
      </w:pPr>
      <w:r>
        <w:t>For contradictions, show both source values side by side rather than a single 'correct' value.</w:t>
      </w:r>
    </w:p>
    <w:p>
      <w:pPr>
        <w:pStyle w:val="ListBullet"/>
      </w:pPr>
      <w:r>
        <w:t>For AI summaries, visually distinguish generated draft from doctor-approved content.</w:t>
      </w:r>
    </w:p>
    <w:p>
      <w:pPr>
        <w:pStyle w:val="Heading1"/>
      </w:pPr>
      <w:r>
        <w:t>7. Component Organization — Recommended</w:t>
      </w:r>
    </w:p>
    <w:p>
      <w:r>
        <w:t>Shared primitives: Button, Card, Input, Select, StatusBadge, AlertBanner, Modal, Spinner, EmptyState, ErrorState, OfflineBanner, ProgressIndicator.</w:t>
      </w:r>
    </w:p>
    <w:p>
      <w:r>
        <w:t>Patient components: ComplaintSelector, QuestionRenderer, VoiceCapture, TranscriptConfirm, DocumentUploader, ConsentPanel.</w:t>
      </w:r>
    </w:p>
    <w:p>
      <w:r>
        <w:t>Doctor components: PatientQueue, PatientDetail, RedFlagList, DocumentViewer, OCRPanel, SummaryReview, ContradictionPanel, LiveEscalationToast, AuditTimeline.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Arogya Link • Implementation Documentation • SIH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