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AROGYA LINK</w:t>
      </w:r>
    </w:p>
    <w:p>
      <w:pPr>
        <w:jc w:val="center"/>
      </w:pPr>
      <w:r>
        <w:rPr>
          <w:i/>
          <w:sz w:val="18"/>
        </w:rPr>
        <w:t>Implementation Documentation — SIH 2026</w:t>
      </w:r>
    </w:p>
    <w:p>
      <w:pPr>
        <w:pStyle w:val="Title"/>
      </w:pPr>
      <w:r>
        <w:t>03 — Rules.md | AI &amp; Engineering Rules</w:t>
      </w:r>
    </w:p>
    <w:p>
      <w:r>
        <w:t>Purpose: Establish non-negotiable boundaries for implementation, especially around authentication, safety logic, AI use, data provenance, errors and offline behavior.</w:t>
      </w:r>
    </w:p>
    <w:p>
      <w:pPr>
        <w:pStyle w:val="Heading1"/>
      </w:pPr>
      <w:r>
        <w:t>1. Authentication &amp; Authorization Rules</w:t>
      </w:r>
    </w:p>
    <w:p>
      <w:pPr>
        <w:pStyle w:val="ListNumber"/>
      </w:pPr>
      <w:r>
        <w:t>Do not implement custom password hashing, custom login endpoints, self-issued JWTs or custom refresh-token handling.</w:t>
      </w:r>
    </w:p>
    <w:p>
      <w:pPr>
        <w:pStyle w:val="ListNumber"/>
      </w:pPr>
      <w:r>
        <w:t>Use Supabase Auth for Doctor/Admin authentication and session management.</w:t>
      </w:r>
    </w:p>
    <w:p>
      <w:pPr>
        <w:pStyle w:val="ListNumber"/>
      </w:pPr>
      <w:r>
        <w:t>Never ship the Supabase service-role key to the frontend.</w:t>
      </w:r>
    </w:p>
    <w:p>
      <w:pPr>
        <w:pStyle w:val="ListNumber"/>
      </w:pPr>
      <w:r>
        <w:t>Verify the bearer token in FastAPI before protected handler logic.</w:t>
      </w:r>
    </w:p>
    <w:p>
      <w:pPr>
        <w:pStyle w:val="ListNumber"/>
      </w:pPr>
      <w:r>
        <w:t>Resolve staff roles server-side from staff_profiles; do not trust client-editable metadata.</w:t>
      </w:r>
    </w:p>
    <w:p>
      <w:pPr>
        <w:pStyle w:val="ListNumber"/>
      </w:pPr>
      <w:r>
        <w:t>Every sensitive endpoint must explicitly enforce require_doctor or require_admin.</w:t>
      </w:r>
    </w:p>
    <w:p>
      <w:pPr>
        <w:pStyle w:val="ListNumber"/>
      </w:pPr>
      <w:r>
        <w:t>A hidden/disabled frontend button is never an authorization mechanism.</w:t>
      </w:r>
    </w:p>
    <w:p>
      <w:pPr>
        <w:pStyle w:val="Heading1"/>
      </w:pPr>
      <w:r>
        <w:t>2. Safety-Critical Rules</w:t>
      </w:r>
    </w:p>
    <w:p>
      <w:pPr>
        <w:pStyle w:val="ListNumber"/>
      </w:pPr>
      <w:r>
        <w:t>Red-flag severity comes only from the deterministic Python rule engine.</w:t>
      </w:r>
    </w:p>
    <w:p>
      <w:pPr>
        <w:pStyle w:val="ListNumber"/>
      </w:pPr>
      <w:r>
        <w:t>Rules must be explicit, versioned and reviewable in red_flags.json.</w:t>
      </w:r>
    </w:p>
    <w:p>
      <w:pPr>
        <w:pStyle w:val="ListNumber"/>
      </w:pPr>
      <w:r>
        <w:t>Do not encode free-text safety conditions when a structured rule can be used.</w:t>
      </w:r>
    </w:p>
    <w:p>
      <w:pPr>
        <w:pStyle w:val="ListNumber"/>
      </w:pPr>
      <w:r>
        <w:t>Return severity, rule_id and evidence for every triggered rule.</w:t>
      </w:r>
    </w:p>
    <w:p>
      <w:pPr>
        <w:pStyle w:val="ListNumber"/>
      </w:pPr>
      <w:r>
        <w:t>Gemini must never independently determine emergency priority.</w:t>
      </w:r>
    </w:p>
    <w:p>
      <w:pPr>
        <w:pStyle w:val="ListNumber"/>
      </w:pPr>
      <w:r>
        <w:t>AI summaries are generated after deterministic safety results and reference them rather than replacing them.</w:t>
      </w:r>
    </w:p>
    <w:p>
      <w:pPr>
        <w:pStyle w:val="Heading1"/>
      </w:pPr>
      <w:r>
        <w:t>3. AI / Gemini Rules</w:t>
      </w:r>
    </w:p>
    <w:p>
      <w:pPr>
        <w:pStyle w:val="ListNumber"/>
      </w:pPr>
      <w:r>
        <w:t>Only llm_service.py should call the Gemini API.</w:t>
      </w:r>
    </w:p>
    <w:p>
      <w:pPr>
        <w:pStyle w:val="ListNumber"/>
      </w:pPr>
      <w:r>
        <w:t>Normalize answers, OCR text and deterministic results into application-controlled structured input.</w:t>
      </w:r>
    </w:p>
    <w:p>
      <w:pPr>
        <w:pStyle w:val="ListNumber"/>
      </w:pPr>
      <w:r>
        <w:t>Prefer structured JSON/response schemas over free-form output.</w:t>
      </w:r>
    </w:p>
    <w:p>
      <w:pPr>
        <w:pStyle w:val="ListNumber"/>
      </w:pPr>
      <w:r>
        <w:t>Validate Gemini output with Pydantic before storage or display.</w:t>
      </w:r>
    </w:p>
    <w:p>
      <w:pPr>
        <w:pStyle w:val="ListNumber"/>
      </w:pPr>
      <w:r>
        <w:t>Reject malformed/schema-invalid output; do not silently repair it.</w:t>
      </w:r>
    </w:p>
    <w:p>
      <w:pPr>
        <w:pStyle w:val="ListNumber"/>
      </w:pPr>
      <w:r>
        <w:t>Preserve the Gemini draft and doctor-edited/approved version as separate versions.</w:t>
      </w:r>
    </w:p>
    <w:p>
      <w:pPr>
        <w:pStyle w:val="ListNumber"/>
      </w:pPr>
      <w:r>
        <w:t>A Gemini timeout or failure must not block access to deterministic patient data.</w:t>
      </w:r>
    </w:p>
    <w:p>
      <w:pPr>
        <w:pStyle w:val="ListNumber"/>
      </w:pPr>
      <w:r>
        <w:t>If traceability is enabled, every summary line must contain a resolvable source reference.</w:t>
      </w:r>
    </w:p>
    <w:p>
      <w:pPr>
        <w:pStyle w:val="Heading1"/>
      </w:pPr>
      <w:r>
        <w:t>4. Patient Data &amp; Consent Rules</w:t>
      </w:r>
    </w:p>
    <w:p>
      <w:pPr>
        <w:pStyle w:val="ListNumber"/>
      </w:pPr>
      <w:r>
        <w:t>Collect only encounter-required patient details.</w:t>
      </w:r>
    </w:p>
    <w:p>
      <w:pPr>
        <w:pStyle w:val="ListNumber"/>
      </w:pPr>
      <w:r>
        <w:t>Explicit consent must be recorded before clinical information is persisted.</w:t>
      </w:r>
    </w:p>
    <w:p>
      <w:pPr>
        <w:pStyle w:val="ListNumber"/>
      </w:pPr>
      <w:r>
        <w:t>The server must reject intake, document upload or answer submission without recorded consent.</w:t>
      </w:r>
    </w:p>
    <w:p>
      <w:pPr>
        <w:pStyle w:val="ListNumber"/>
      </w:pPr>
      <w:r>
        <w:t>Use a server-issued encounter UUID as the traceability anchor.</w:t>
      </w:r>
    </w:p>
    <w:p>
      <w:pPr>
        <w:pStyle w:val="ListNumber"/>
      </w:pPr>
      <w:r>
        <w:t>For ABHA integration, store the ABHA reference ID and consent artifact; do not store the Aadhaar number.</w:t>
      </w:r>
    </w:p>
    <w:p>
      <w:pPr>
        <w:pStyle w:val="Heading1"/>
      </w:pPr>
      <w:r>
        <w:t>5. OCR Rules</w:t>
      </w:r>
    </w:p>
    <w:p>
      <w:pPr>
        <w:pStyle w:val="ListNumber"/>
      </w:pPr>
      <w:r>
        <w:t>Accept image/PDF uploads only within the configured size limit.</w:t>
      </w:r>
    </w:p>
    <w:p>
      <w:pPr>
        <w:pStyle w:val="ListNumber"/>
      </w:pPr>
      <w:r>
        <w:t>Persist upload metadata and OCR status.</w:t>
      </w:r>
    </w:p>
    <w:p>
      <w:pPr>
        <w:pStyle w:val="ListNumber"/>
      </w:pPr>
      <w:r>
        <w:t>Run OCR asynchronously/background where appropriate.</w:t>
      </w:r>
    </w:p>
    <w:p>
      <w:pPr>
        <w:pStyle w:val="ListNumber"/>
      </w:pPr>
      <w:r>
        <w:t>Treat OCR as extracted evidence, not ground truth.</w:t>
      </w:r>
    </w:p>
    <w:p>
      <w:pPr>
        <w:pStyle w:val="ListNumber"/>
      </w:pPr>
      <w:r>
        <w:t>Show the original document and extracted text side by side for doctor verification.</w:t>
      </w:r>
    </w:p>
    <w:p>
      <w:pPr>
        <w:pStyle w:val="Heading1"/>
      </w:pPr>
      <w:r>
        <w:t>6. Voice Rules</w:t>
      </w:r>
    </w:p>
    <w:p>
      <w:pPr>
        <w:pStyle w:val="ListNumber"/>
      </w:pPr>
      <w:r>
        <w:t>Voice is optional and must never block the touch workflow.</w:t>
      </w:r>
    </w:p>
    <w:p>
      <w:pPr>
        <w:pStyle w:val="ListNumber"/>
      </w:pPr>
      <w:r>
        <w:t>Use Bhashini/AI4Bharat as primary multilingual STT and Whisper as fallback.</w:t>
      </w:r>
    </w:p>
    <w:p>
      <w:pPr>
        <w:pStyle w:val="ListNumber"/>
      </w:pPr>
      <w:r>
        <w:t>Always show the transcript for explicit confirmation before saving it as an answer.</w:t>
      </w:r>
    </w:p>
    <w:p>
      <w:pPr>
        <w:pStyle w:val="ListNumber"/>
      </w:pPr>
      <w:r>
        <w:t>If both STT paths fail, fall back to touch input.</w:t>
      </w:r>
    </w:p>
    <w:p>
      <w:pPr>
        <w:pStyle w:val="Heading1"/>
      </w:pPr>
      <w:r>
        <w:t>7. Offline Rules</w:t>
      </w:r>
    </w:p>
    <w:p>
      <w:pPr>
        <w:pStyle w:val="ListNumber"/>
      </w:pPr>
      <w:r>
        <w:t>Queue unsent answers in IndexedDB using client-generated UUIDs.</w:t>
      </w:r>
    </w:p>
    <w:p>
      <w:pPr>
        <w:pStyle w:val="ListNumber"/>
      </w:pPr>
      <w:r>
        <w:t>Use Workbox/service worker caching for the app shell and required question/rule configuration.</w:t>
      </w:r>
    </w:p>
    <w:p>
      <w:pPr>
        <w:pStyle w:val="ListNumber"/>
      </w:pPr>
      <w:r>
        <w:t>Show offline state clearly.</w:t>
      </w:r>
    </w:p>
    <w:p>
      <w:pPr>
        <w:pStyle w:val="ListNumber"/>
      </w:pPr>
      <w:r>
        <w:t>Server-side red-flag evaluation remains authoritative after synchronization.</w:t>
      </w:r>
    </w:p>
    <w:p>
      <w:pPr>
        <w:pStyle w:val="ListNumber"/>
      </w:pPr>
      <w:r>
        <w:t>The /sync/answers endpoint must be idempotent so retries cannot create duplicate answers.</w:t>
      </w:r>
    </w:p>
    <w:p>
      <w:pPr>
        <w:pStyle w:val="Heading1"/>
      </w:pPr>
      <w:r>
        <w:t>8. Error Handling Rules</w:t>
      </w:r>
    </w:p>
    <w:p>
      <w:pPr>
        <w:pStyle w:val="ListBullet"/>
      </w:pPr>
      <w:r>
        <w:t>Use a consistent JSON error envelope: {error_code, message, request_id}.</w:t>
      </w:r>
    </w:p>
    <w:p>
      <w:pPr>
        <w:pStyle w:val="ListBullet"/>
      </w:pPr>
      <w:r>
        <w:t>Authentication failures return 401; role mismatches return 403.</w:t>
      </w:r>
    </w:p>
    <w:p>
      <w:pPr>
        <w:pStyle w:val="ListBullet"/>
      </w:pPr>
      <w:r>
        <w:t>Do not expose secrets, raw tokens or unnecessary clinical data in errors.</w:t>
      </w:r>
    </w:p>
    <w:p>
      <w:pPr>
        <w:pStyle w:val="ListBullet"/>
      </w:pPr>
      <w:r>
        <w:t>Log failures with enough context to reproduce them without exposing unvalidated AI output to users.</w:t>
      </w:r>
    </w:p>
    <w:p>
      <w:pPr>
        <w:pStyle w:val="Heading1"/>
      </w:pPr>
      <w:r>
        <w:t>9. Testing Rules</w:t>
      </w:r>
    </w:p>
    <w:p>
      <w:pPr>
        <w:pStyle w:val="ListBullet"/>
      </w:pPr>
      <w:r>
        <w:t>Question-engine and red-flag tests should exercise pure Python functions directly.</w:t>
      </w:r>
    </w:p>
    <w:p>
      <w:pPr>
        <w:pStyle w:val="ListBullet"/>
      </w:pPr>
      <w:r>
        <w:t>API tests should cover session/consent, intake, escalation and summary endpoints.</w:t>
      </w:r>
    </w:p>
    <w:p>
      <w:pPr>
        <w:pStyle w:val="ListBullet"/>
      </w:pPr>
      <w:r>
        <w:t>WebSocket tests must verify escalation broadcasts.</w:t>
      </w:r>
    </w:p>
    <w:p>
      <w:pPr>
        <w:pStyle w:val="ListBullet"/>
      </w:pPr>
      <w:r>
        <w:t>Authorization tests must verify out-of-role requests are rejected.</w:t>
      </w:r>
    </w:p>
    <w:p>
      <w:pPr>
        <w:pStyle w:val="ListBullet"/>
      </w:pPr>
      <w:r>
        <w:t>Offline tests must cover queueing, retry and idempotent synchronization.</w:t>
      </w:r>
    </w:p>
    <w:p>
      <w:pPr>
        <w:pStyle w:val="ListBullet"/>
      </w:pPr>
      <w:r>
        <w:t>Gemini failure tests must verify the doctor dashboard remains usable.</w:t>
      </w:r>
    </w:p>
    <w:p>
      <w:pPr>
        <w:pStyle w:val="Heading1"/>
      </w:pPr>
      <w:r>
        <w:t>10. Documentation Consistency Rules</w:t>
      </w:r>
    </w:p>
    <w:p>
      <w:pPr>
        <w:pStyle w:val="ListBullet"/>
      </w:pPr>
      <w:r>
        <w:t>Keep the master implementation plan's terminology and phase labels intact unless a deliberate dependency-aware renumbering is explicitly documented.</w:t>
      </w:r>
    </w:p>
    <w:p>
      <w:pPr>
        <w:pStyle w:val="ListBullet"/>
      </w:pPr>
      <w:r>
        <w:t>When the addendum labels Phases 15–19 are used, preserve the source mapping: 15 ABHA/ABDM, 16 AYUSH, 17 Reminder System, 18 Smart Follow-up, 19 Traceable AI Summary.</w:t>
      </w:r>
    </w:p>
    <w:p>
      <w:pPr>
        <w:pStyle w:val="ListBullet"/>
      </w:pPr>
      <w:r>
        <w:t>If a dependency-aware execution order differs from the numbered labels, show both the source labels and the execution order; never silently swap phase names.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Arogya Link • Implementation Documentation • SIH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