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AROGYA LINK</w:t>
      </w:r>
    </w:p>
    <w:p>
      <w:pPr>
        <w:jc w:val="center"/>
      </w:pPr>
      <w:r>
        <w:rPr>
          <w:i/>
          <w:sz w:val="18"/>
        </w:rPr>
        <w:t>Implementation Documentation — SIH 2026</w:t>
      </w:r>
    </w:p>
    <w:p>
      <w:pPr>
        <w:pStyle w:val="Title"/>
      </w:pPr>
      <w:r>
        <w:t>04 — Phases.md | Implementation Phases</w:t>
      </w:r>
    </w:p>
    <w:p>
      <w:r>
        <w:t>Purpose: Break implementation into buildable phases. The supplied plan defines Phases 0–14 and an addendum with Phases 15–19; the dependency-aware order below preserves those capabilities while grouping the addendum according to its stated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Phase</w:t>
            </w:r>
          </w:p>
        </w:tc>
        <w:tc>
          <w:tcPr>
            <w:tcW w:type="dxa" w:w="2556"/>
            <w:shd w:fill="D9EAF7"/>
          </w:tcPr>
          <w:p>
            <w:r>
              <w:t>Name</w:t>
            </w:r>
          </w:p>
        </w:tc>
        <w:tc>
          <w:tcPr>
            <w:tcW w:type="dxa" w:w="2556"/>
            <w:shd w:fill="D9EAF7"/>
          </w:tcPr>
          <w:p>
            <w:r>
              <w:t>Main Work</w:t>
            </w:r>
          </w:p>
        </w:tc>
        <w:tc>
          <w:tcPr>
            <w:tcW w:type="dxa" w:w="2556"/>
            <w:shd w:fill="D9EAF7"/>
          </w:tcPr>
          <w:p>
            <w:r>
              <w:t>Definition of Done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Project Foundation</w:t>
            </w:r>
          </w:p>
        </w:tc>
        <w:tc>
          <w:tcPr>
            <w:tcW w:type="dxa" w:w="2556"/>
          </w:tcPr>
          <w:p>
            <w:r>
              <w:t>React/Vite patient + doctor apps, FastAPI app factory, PostgreSQL, SQLAlchemy, Alembic, Pydantic, CORS, health endpoint.</w:t>
            </w:r>
          </w:p>
        </w:tc>
        <w:tc>
          <w:tcPr>
            <w:tcW w:type="dxa" w:w="2556"/>
          </w:tcPr>
          <w:p>
            <w:r>
              <w:t>Both frontends communicate with FastAPI and database health is verified.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Supabase Authentication</w:t>
            </w:r>
          </w:p>
        </w:tc>
        <w:tc>
          <w:tcPr>
            <w:tcW w:type="dxa" w:w="2556"/>
          </w:tcPr>
          <w:p>
            <w:r>
              <w:t>Supabase Auth, supabase-js, protected dashboard routes, token verification in FastAPI.</w:t>
            </w:r>
          </w:p>
        </w:tc>
        <w:tc>
          <w:tcPr>
            <w:tcW w:type="dxa" w:w="2556"/>
          </w:tcPr>
          <w:p>
            <w:r>
              <w:t>Doctor/Admin can sign in and access protected routes.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Staff Roles &amp; Authorization</w:t>
            </w:r>
          </w:p>
        </w:tc>
        <w:tc>
          <w:tcPr>
            <w:tcW w:type="dxa" w:w="2556"/>
          </w:tcPr>
          <w:p>
            <w:r>
              <w:t>staff_profiles, require_doctor/require_admin and backend endpoint checks.</w:t>
            </w:r>
          </w:p>
        </w:tc>
        <w:tc>
          <w:tcPr>
            <w:tcW w:type="dxa" w:w="2556"/>
          </w:tcPr>
          <w:p>
            <w:r>
              <w:t>Signed-in users cannot perform actions outside their role.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Patient Session &amp; Consent</w:t>
            </w:r>
          </w:p>
        </w:tc>
        <w:tc>
          <w:tcPr>
            <w:tcW w:type="dxa" w:w="2556"/>
          </w:tcPr>
          <w:p>
            <w:r>
              <w:t>patients, encounters, consent; /session, /consent and encounter validation.</w:t>
            </w:r>
          </w:p>
        </w:tc>
        <w:tc>
          <w:tcPr>
            <w:tcW w:type="dxa" w:w="2556"/>
          </w:tcPr>
          <w:p>
            <w:r>
              <w:t>Every intake action is linked to a valid consented encounter.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Adaptive Clinical Intake</w:t>
            </w:r>
          </w:p>
        </w:tc>
        <w:tc>
          <w:tcPr>
            <w:tcW w:type="dxa" w:w="2556"/>
          </w:tcPr>
          <w:p>
            <w:r>
              <w:t>questions.json, question_engine.py, adaptive React UI, answers table.</w:t>
            </w:r>
          </w:p>
        </w:tc>
        <w:tc>
          <w:tcPr>
            <w:tcW w:type="dxa" w:w="2556"/>
          </w:tcPr>
          <w:p>
            <w:r>
              <w:t>Touch-only intake completes without AI or voice.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Deterministic Red-Flag Engine</w:t>
            </w:r>
          </w:p>
        </w:tc>
        <w:tc>
          <w:tcPr>
            <w:tcW w:type="dxa" w:w="2556"/>
          </w:tcPr>
          <w:p>
            <w:r>
              <w:t>red_flags.json, Python evaluator, evidence-backed red_flags table.</w:t>
            </w:r>
          </w:p>
        </w:tc>
        <w:tc>
          <w:tcPr>
            <w:tcW w:type="dxa" w:w="2556"/>
          </w:tcPr>
          <w:p>
            <w:r>
              <w:t>Same input produces the same safety result.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Doctor Dashboard</w:t>
            </w:r>
          </w:p>
        </w:tc>
        <w:tc>
          <w:tcPr>
            <w:tcW w:type="dxa" w:w="2556"/>
          </w:tcPr>
          <w:p>
            <w:r>
              <w:t>Queue, patient detail, review/edit/approve workflow.</w:t>
            </w:r>
          </w:p>
        </w:tc>
        <w:tc>
          <w:tcPr>
            <w:tcW w:type="dxa" w:w="2556"/>
          </w:tcPr>
          <w:p>
            <w:r>
              <w:t>Doctor can review deterministic workflow before AI.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Real-Time Escalation</w:t>
            </w:r>
          </w:p>
        </w:tc>
        <w:tc>
          <w:tcPr>
            <w:tcW w:type="dxa" w:w="2556"/>
          </w:tcPr>
          <w:p>
            <w:r>
              <w:t>FastAPI WebSockets, EscalationManager, escalations table.</w:t>
            </w:r>
          </w:p>
        </w:tc>
        <w:tc>
          <w:tcPr>
            <w:tcW w:type="dxa" w:w="2556"/>
          </w:tcPr>
          <w:p>
            <w:r>
              <w:t>Critical input creates persistent escalation and live alert.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Document Upload &amp; OCR</w:t>
            </w:r>
          </w:p>
        </w:tc>
        <w:tc>
          <w:tcPr>
            <w:tcW w:type="dxa" w:w="2556"/>
          </w:tcPr>
          <w:p>
            <w:r>
              <w:t>Upload validation, document metadata, PaddleOCR, OCR status.</w:t>
            </w:r>
          </w:p>
        </w:tc>
        <w:tc>
          <w:tcPr>
            <w:tcW w:type="dxa" w:w="2556"/>
          </w:tcPr>
          <w:p>
            <w:r>
              <w:t>OCR works independently before Gemini.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Voice Input</w:t>
            </w:r>
          </w:p>
        </w:tc>
        <w:tc>
          <w:tcPr>
            <w:tcW w:type="dxa" w:w="2556"/>
          </w:tcPr>
          <w:p>
            <w:r>
              <w:t>Audio capture, Bhashini/AI4Bharat primary STT, Whisper fallback, transcript confirmation.</w:t>
            </w:r>
          </w:p>
        </w:tc>
        <w:tc>
          <w:tcPr>
            <w:tcW w:type="dxa" w:w="2556"/>
          </w:tcPr>
          <w:p>
            <w:r>
              <w:t>Voice failure does not block intake.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Gemini Clinical Summary</w:t>
            </w:r>
          </w:p>
        </w:tc>
        <w:tc>
          <w:tcPr>
            <w:tcW w:type="dxa" w:w="2556"/>
          </w:tcPr>
          <w:p>
            <w:r>
              <w:t>llm_service.py, structured Gemini response, Pydantic validation, versioned summaries.</w:t>
            </w:r>
          </w:p>
        </w:tc>
        <w:tc>
          <w:tcPr>
            <w:tcW w:type="dxa" w:w="2556"/>
          </w:tcPr>
          <w:p>
            <w:r>
              <w:t>Doctor receives a validated Gemini draft.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Contradiction Detection</w:t>
            </w:r>
          </w:p>
        </w:tc>
        <w:tc>
          <w:tcPr>
            <w:tcW w:type="dxa" w:w="2556"/>
          </w:tcPr>
          <w:p>
            <w:r>
              <w:t>Deterministic field comparisons and contradictions table.</w:t>
            </w:r>
          </w:p>
        </w:tc>
        <w:tc>
          <w:tcPr>
            <w:tcW w:type="dxa" w:w="2556"/>
          </w:tcPr>
          <w:p>
            <w:r>
              <w:t>Conflicts are surfaced for doctor review, not auto-resolved.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Audit Logging</w:t>
            </w:r>
          </w:p>
        </w:tc>
        <w:tc>
          <w:tcPr>
            <w:tcW w:type="dxa" w:w="2556"/>
          </w:tcPr>
          <w:p>
            <w:r>
              <w:t>Append-only audit_log and log_action helper.</w:t>
            </w:r>
          </w:p>
        </w:tc>
        <w:tc>
          <w:tcPr>
            <w:tcW w:type="dxa" w:w="2556"/>
          </w:tcPr>
          <w:p>
            <w:r>
              <w:t>Sensitive actions are traceable to authenticated staff.</w:t>
            </w:r>
          </w:p>
        </w:tc>
      </w:tr>
      <w:tr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Offline-First Kiosk</w:t>
            </w:r>
          </w:p>
        </w:tc>
        <w:tc>
          <w:tcPr>
            <w:tcW w:type="dxa" w:w="2556"/>
          </w:tcPr>
          <w:p>
            <w:r>
              <w:t>IndexedDB/idb, Workbox, offline status, /sync/answers.</w:t>
            </w:r>
          </w:p>
        </w:tc>
        <w:tc>
          <w:tcPr>
            <w:tcW w:type="dxa" w:w="2556"/>
          </w:tcPr>
          <w:p>
            <w:r>
              <w:t>Temporary network loss does not stop core intake.</w:t>
            </w:r>
          </w:p>
        </w:tc>
      </w:tr>
      <w:tr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History, Export, Testing &amp; SIH Demo</w:t>
            </w:r>
          </w:p>
        </w:tc>
        <w:tc>
          <w:tcPr>
            <w:tcW w:type="dxa" w:w="2556"/>
          </w:tcPr>
          <w:p>
            <w:r>
              <w:t>Timeline, FHIR-compatible export, pytest/httpx, WebSocket/auth/offline/Gemini failure tests.</w:t>
            </w:r>
          </w:p>
        </w:tc>
        <w:tc>
          <w:tcPr>
            <w:tcW w:type="dxa" w:w="2556"/>
          </w:tcPr>
          <w:p>
            <w:r>
              <w:t>Clean end-to-end demonstration is reproducible.</w:t>
            </w:r>
          </w:p>
        </w:tc>
      </w:tr>
      <w:tr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ABHA / ABDM Integration</w:t>
            </w:r>
          </w:p>
        </w:tc>
        <w:tc>
          <w:tcPr>
            <w:tcW w:type="dxa" w:w="2556"/>
          </w:tcPr>
          <w:p>
            <w:r>
              <w:t>ABDM sandbox/M2 APIs, abha_links, consent-based FHIR push.</w:t>
            </w:r>
          </w:p>
        </w:tc>
        <w:tc>
          <w:tcPr>
            <w:tcW w:type="dxa" w:w="2556"/>
          </w:tcPr>
          <w:p>
            <w:r>
              <w:t>Encounter can be linked and made portable through ABHA.</w:t>
            </w:r>
          </w:p>
        </w:tc>
      </w:tr>
      <w:tr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AYUSH Assessment Module</w:t>
            </w:r>
          </w:p>
        </w:tc>
        <w:tc>
          <w:tcPr>
            <w:tcW w:type="dxa" w:w="2556"/>
          </w:tcPr>
          <w:p>
            <w:r>
              <w:t>ayush_questions.json, AYUSH screens, ayush_assessments.</w:t>
            </w:r>
          </w:p>
        </w:tc>
        <w:tc>
          <w:tcPr>
            <w:tcW w:type="dxa" w:w="2556"/>
          </w:tcPr>
          <w:p>
            <w:r>
              <w:t>Dashavidha Pariksha and Ahara-Vihara are captured as structured data.</w:t>
            </w:r>
          </w:p>
        </w:tc>
      </w:tr>
      <w:tr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Reminder System</w:t>
            </w:r>
          </w:p>
        </w:tc>
        <w:tc>
          <w:tcPr>
            <w:tcW w:type="dxa" w:w="2556"/>
          </w:tcPr>
          <w:p>
            <w:r>
              <w:t>APScheduler/Celery beat, reminder table, SMS/WhatsApp/push gateway.</w:t>
            </w:r>
          </w:p>
        </w:tc>
        <w:tc>
          <w:tcPr>
            <w:tcW w:type="dxa" w:w="2556"/>
          </w:tcPr>
          <w:p>
            <w:r>
              <w:t>Medicine and follow-up reminders are scheduled with delivery status.</w:t>
            </w:r>
          </w:p>
        </w:tc>
      </w:tr>
      <w:tr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Smart Follow-up</w:t>
            </w:r>
          </w:p>
        </w:tc>
        <w:tc>
          <w:tcPr>
            <w:tcW w:type="dxa" w:w="2556"/>
          </w:tcPr>
          <w:p>
            <w:r>
              <w:t>Prior encounter lookup, prefill/reconfirmation, encounter_links.</w:t>
            </w:r>
          </w:p>
        </w:tc>
        <w:tc>
          <w:tcPr>
            <w:tcW w:type="dxa" w:w="2556"/>
          </w:tcPr>
          <w:p>
            <w:r>
              <w:t>Returning patients answer only changed/new questions.</w:t>
            </w:r>
          </w:p>
        </w:tc>
      </w:tr>
      <w:tr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Traceable AI Summary</w:t>
            </w:r>
          </w:p>
        </w:tc>
        <w:tc>
          <w:tcPr>
            <w:tcW w:type="dxa" w:w="2556"/>
          </w:tcPr>
          <w:p>
            <w:r>
              <w:t>Per-line provenance in ClinicalSummarySchema and source lookup endpoint.</w:t>
            </w:r>
          </w:p>
        </w:tc>
        <w:tc>
          <w:tcPr>
            <w:tcW w:type="dxa" w:w="2556"/>
          </w:tcPr>
          <w:p>
            <w:r>
              <w:t>Each AI summary line can be traced to voice, touch or document evidence.</w:t>
            </w:r>
          </w:p>
        </w:tc>
      </w:tr>
    </w:tbl>
    <w:p>
      <w:pPr>
        <w:pStyle w:val="Heading1"/>
      </w:pPr>
      <w:r>
        <w:t>Recommended Dependency-Aware Build Order</w:t>
      </w:r>
    </w:p>
    <w:p>
      <w:pPr>
        <w:pStyle w:val="ListNumber"/>
      </w:pPr>
      <w:r>
        <w:t>Foundation → Auth → Roles → Patient Session → Adaptive Intake → Red Flags → Doctor Dashboard → Real-Time Escalation → OCR → Voice → Gemini → Contradictions → Audit → Offline → History/Export/Tests.</w:t>
      </w:r>
    </w:p>
    <w:p>
      <w:pPr>
        <w:pStyle w:val="ListNumber"/>
      </w:pPr>
      <w:r>
        <w:t>Addendum dependency order from the source plan: AYUSH after Phase 4; Smart Follow-up after Phases 3–4; ABHA/ABDM after Phase 14/FHIR export; Reminder System after Phase 10/approved summary; Traceable AI can be folded into Phase 10 if time allows, otherwise implemented last.</w:t>
      </w:r>
    </w:p>
    <w:p>
      <w:pPr>
        <w:pStyle w:val="ListNumber"/>
      </w:pPr>
      <w:r/>
    </w:p>
    <w:p>
      <w:pPr>
        <w:pStyle w:val="ListNumber"/>
      </w:pPr>
      <w:r/>
    </w:p>
    <w:p>
      <w:pPr>
        <w:pStyle w:val="ListNumber"/>
      </w:pPr>
      <w:r/>
    </w:p>
    <w:p>
      <w:pPr>
        <w:pStyle w:val="ListNumber"/>
      </w:pPr>
      <w:r/>
    </w:p>
    <w:p>
      <w:pPr>
        <w:pStyle w:val="Heading1"/>
      </w:pPr>
      <w:r>
        <w:t>Phase Gate Principle</w:t>
      </w:r>
    </w:p>
    <w:p>
      <w:r>
        <w:t>Do not move to a downstream AI-dependent phase merely because the UI exists. The upstream workflow must be independently testable first: deterministic intake before Gemini, OCR before Gemini consumes OCR output, and server-side authorization before sensitive dashboard actions.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Arogya Link • Implementation Documentation • SIH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