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DMS Next Developer Source Guide</w:t>
      </w:r>
    </w:p>
    <w:p>
      <w:pPr>
        <w:jc w:val="center"/>
      </w:pPr>
      <w:r>
        <w:rPr>
          <w:color w:val="2F75B5"/>
          <w:sz w:val="28"/>
        </w:rPr>
        <w:t>Repository map, file responsibilities and safe extension points</w:t>
      </w:r>
    </w:p>
    <w:p/>
    <w:p>
      <w:pPr>
        <w:jc w:val="center"/>
      </w:pPr>
      <w:r>
        <w:rPr>
          <w:b/>
        </w:rPr>
        <w:t>Engineering checkpoint • 2026-09-07</w:t>
        <w:br/>
      </w:r>
      <w:r>
        <w:t>DMS Next • Sponsor and development use</w:t>
      </w:r>
    </w:p>
    <w:p/>
    <w:p>
      <w:pPr>
        <w:pStyle w:val="Heading1"/>
      </w:pPr>
      <w:r>
        <w:t>Purpose</w:t>
      </w:r>
    </w:p>
    <w:p>
      <w:r>
        <w:t>A working map for a developer joining the DMS project. It explains the runtime flow, identifies each maintained code/build/test file, and links changes to the validation evidence that must move with them.</w:t>
      </w:r>
    </w:p>
    <w:p>
      <w:pPr>
        <w:jc w:val="center"/>
      </w:pPr>
      <w:r>
        <w:drawing>
          <wp:inline xmlns:a="http://schemas.openxmlformats.org/drawingml/2006/main" xmlns:pic="http://schemas.openxmlformats.org/drawingml/2006/picture">
            <wp:extent cx="9235440" cy="4361180"/>
            <wp:docPr id="1" name="Picture 1"/>
            <wp:cNvGraphicFramePr>
              <a:graphicFrameLocks noChangeAspect="1"/>
            </wp:cNvGraphicFramePr>
            <a:graphic>
              <a:graphicData uri="http://schemas.openxmlformats.org/drawingml/2006/picture">
                <pic:pic>
                  <pic:nvPicPr>
                    <pic:cNvPr id="0" name="developer-map.png"/>
                    <pic:cNvPicPr/>
                  </pic:nvPicPr>
                  <pic:blipFill>
                    <a:blip r:embed="rId10"/>
                    <a:stretch>
                      <a:fillRect/>
                    </a:stretch>
                  </pic:blipFill>
                  <pic:spPr>
                    <a:xfrm>
                      <a:off x="0" y="0"/>
                      <a:ext cx="9235440" cy="4361180"/>
                    </a:xfrm>
                    <a:prstGeom prst="rect"/>
                  </pic:spPr>
                </pic:pic>
              </a:graphicData>
            </a:graphic>
          </wp:inline>
        </w:drawing>
      </w:r>
    </w:p>
    <w:p>
      <w:pPr>
        <w:pStyle w:val="Heading1"/>
      </w:pPr>
      <w:r>
        <w:t>Start here</w:t>
      </w:r>
    </w:p>
    <w:tbl>
      <w:tblPr>
        <w:tblStyle w:val="TableGrid"/>
        <w:tblW w:type="auto" w:w="0"/>
        <w:jc w:val="center"/>
        <w:tblLook w:firstColumn="1" w:firstRow="1" w:lastColumn="0" w:lastRow="0" w:noHBand="0" w:noVBand="1" w:val="04A0"/>
      </w:tblPr>
      <w:tblGrid>
        <w:gridCol w:w="4987"/>
        <w:gridCol w:w="4987"/>
        <w:gridCol w:w="4987"/>
      </w:tblGrid>
      <w:tr>
        <w:trPr>
          <w:tblHeader w:val="true"/>
        </w:trPr>
        <w:tc>
          <w:tcPr>
            <w:tcW w:type="dxa" w:w="4987"/>
            <w:shd w:fill="17365D"/>
            <w:vAlign w:val="center"/>
          </w:tcPr>
          <w:p>
            <w:r>
              <w:rPr>
                <w:b/>
                <w:color w:val="FFFFFF"/>
                <w:sz w:val="17"/>
              </w:rPr>
              <w:t>Order</w:t>
            </w:r>
          </w:p>
        </w:tc>
        <w:tc>
          <w:tcPr>
            <w:tcW w:type="dxa" w:w="4987"/>
            <w:shd w:fill="17365D"/>
            <w:vAlign w:val="center"/>
          </w:tcPr>
          <w:p>
            <w:r>
              <w:rPr>
                <w:b/>
                <w:color w:val="FFFFFF"/>
                <w:sz w:val="17"/>
              </w:rPr>
              <w:t>Read / run</w:t>
            </w:r>
          </w:p>
        </w:tc>
        <w:tc>
          <w:tcPr>
            <w:tcW w:type="dxa" w:w="4987"/>
            <w:shd w:fill="17365D"/>
            <w:vAlign w:val="center"/>
          </w:tcPr>
          <w:p>
            <w:r>
              <w:rPr>
                <w:b/>
                <w:color w:val="FFFFFF"/>
                <w:sz w:val="17"/>
              </w:rPr>
              <w:t>Why</w:t>
            </w:r>
          </w:p>
        </w:tc>
      </w:tr>
      <w:tr>
        <w:tc>
          <w:tcPr>
            <w:tcW w:type="dxa" w:w="4987"/>
            <w:vAlign w:val="top"/>
          </w:tcPr>
          <w:p>
            <w:pPr>
              <w:spacing w:after="20"/>
            </w:pPr>
            <w:r>
              <w:rPr>
                <w:sz w:val="17"/>
              </w:rPr>
              <w:t>1</w:t>
            </w:r>
          </w:p>
        </w:tc>
        <w:tc>
          <w:tcPr>
            <w:tcW w:type="dxa" w:w="4987"/>
            <w:vAlign w:val="top"/>
          </w:tcPr>
          <w:p>
            <w:pPr>
              <w:spacing w:after="20"/>
            </w:pPr>
            <w:r>
              <w:rPr>
                <w:sz w:val="17"/>
              </w:rPr>
              <w:t>docs/COLLABORATOR_TESTING_HANDOFF.md</w:t>
            </w:r>
          </w:p>
        </w:tc>
        <w:tc>
          <w:tcPr>
            <w:tcW w:type="dxa" w:w="4987"/>
            <w:vAlign w:val="top"/>
          </w:tcPr>
          <w:p>
            <w:pPr>
              <w:spacing w:after="20"/>
            </w:pPr>
            <w:r>
              <w:rPr>
                <w:sz w:val="17"/>
              </w:rPr>
              <w:t>Repository rules, branch discipline, claims and private-data boundaries.</w:t>
            </w:r>
          </w:p>
        </w:tc>
      </w:tr>
      <w:tr>
        <w:tc>
          <w:tcPr>
            <w:tcW w:type="dxa" w:w="4987"/>
            <w:vAlign w:val="top"/>
            <w:shd w:fill="F3F6FA"/>
          </w:tcPr>
          <w:p>
            <w:pPr>
              <w:spacing w:after="20"/>
            </w:pPr>
            <w:r>
              <w:rPr>
                <w:sz w:val="17"/>
              </w:rPr>
              <w:t>2</w:t>
            </w:r>
          </w:p>
        </w:tc>
        <w:tc>
          <w:tcPr>
            <w:tcW w:type="dxa" w:w="4987"/>
            <w:vAlign w:val="top"/>
            <w:shd w:fill="F3F6FA"/>
          </w:tcPr>
          <w:p>
            <w:pPr>
              <w:spacing w:after="20"/>
            </w:pPr>
            <w:r>
              <w:rPr>
                <w:sz w:val="17"/>
              </w:rPr>
              <w:t>docs/ARCHITECTURE.md and docs/DMS_CORE.md</w:t>
            </w:r>
          </w:p>
        </w:tc>
        <w:tc>
          <w:tcPr>
            <w:tcW w:type="dxa" w:w="4987"/>
            <w:vAlign w:val="top"/>
            <w:shd w:fill="F3F6FA"/>
          </w:tcPr>
          <w:p>
            <w:pPr>
              <w:spacing w:after="20"/>
            </w:pPr>
            <w:r>
              <w:rPr>
                <w:sz w:val="17"/>
              </w:rPr>
              <w:t>System boundaries, timestamp/quality invariants and FSM contracts.</w:t>
            </w:r>
          </w:p>
        </w:tc>
      </w:tr>
      <w:tr>
        <w:tc>
          <w:tcPr>
            <w:tcW w:type="dxa" w:w="4987"/>
            <w:vAlign w:val="top"/>
          </w:tcPr>
          <w:p>
            <w:pPr>
              <w:spacing w:after="20"/>
            </w:pPr>
            <w:r>
              <w:rPr>
                <w:sz w:val="17"/>
              </w:rPr>
              <w:t>3</w:t>
            </w:r>
          </w:p>
        </w:tc>
        <w:tc>
          <w:tcPr>
            <w:tcW w:type="dxa" w:w="4987"/>
            <w:vAlign w:val="top"/>
          </w:tcPr>
          <w:p>
            <w:pPr>
              <w:spacing w:after="20"/>
            </w:pPr>
            <w:r>
              <w:rPr>
                <w:sz w:val="17"/>
              </w:rPr>
              <w:t>CMakeLists.txt</w:t>
            </w:r>
          </w:p>
        </w:tc>
        <w:tc>
          <w:tcPr>
            <w:tcW w:type="dxa" w:w="4987"/>
            <w:vAlign w:val="top"/>
          </w:tcPr>
          <w:p>
            <w:pPr>
              <w:spacing w:after="20"/>
            </w:pPr>
            <w:r>
              <w:rPr>
                <w:sz w:val="17"/>
              </w:rPr>
              <w:t>Targets, optional features, platform dependencies and tests.</w:t>
            </w:r>
          </w:p>
        </w:tc>
      </w:tr>
      <w:tr>
        <w:tc>
          <w:tcPr>
            <w:tcW w:type="dxa" w:w="4987"/>
            <w:vAlign w:val="top"/>
            <w:shd w:fill="F3F6FA"/>
          </w:tcPr>
          <w:p>
            <w:pPr>
              <w:spacing w:after="20"/>
            </w:pPr>
            <w:r>
              <w:rPr>
                <w:sz w:val="17"/>
              </w:rPr>
              <w:t>4</w:t>
            </w:r>
          </w:p>
        </w:tc>
        <w:tc>
          <w:tcPr>
            <w:tcW w:type="dxa" w:w="4987"/>
            <w:vAlign w:val="top"/>
            <w:shd w:fill="F3F6FA"/>
          </w:tcPr>
          <w:p>
            <w:pPr>
              <w:spacing w:after="20"/>
            </w:pPr>
            <w:r>
              <w:rPr>
                <w:sz w:val="17"/>
              </w:rPr>
              <w:t>Configure a clean Release build; run ctest</w:t>
            </w:r>
          </w:p>
        </w:tc>
        <w:tc>
          <w:tcPr>
            <w:tcW w:type="dxa" w:w="4987"/>
            <w:vAlign w:val="top"/>
            <w:shd w:fill="F3F6FA"/>
          </w:tcPr>
          <w:p>
            <w:pPr>
              <w:spacing w:after="20"/>
            </w:pPr>
            <w:r>
              <w:rPr>
                <w:sz w:val="17"/>
              </w:rPr>
              <w:t>Establish a known baseline before modifying behavior.</w:t>
            </w:r>
          </w:p>
        </w:tc>
      </w:tr>
      <w:tr>
        <w:tc>
          <w:tcPr>
            <w:tcW w:type="dxa" w:w="4987"/>
            <w:vAlign w:val="top"/>
          </w:tcPr>
          <w:p>
            <w:pPr>
              <w:spacing w:after="20"/>
            </w:pPr>
            <w:r>
              <w:rPr>
                <w:sz w:val="17"/>
              </w:rPr>
              <w:t>5</w:t>
            </w:r>
          </w:p>
        </w:tc>
        <w:tc>
          <w:tcPr>
            <w:tcW w:type="dxa" w:w="4987"/>
            <w:vAlign w:val="top"/>
          </w:tcPr>
          <w:p>
            <w:pPr>
              <w:spacing w:after="20"/>
            </w:pPr>
            <w:r>
              <w:rPr>
                <w:sz w:val="17"/>
              </w:rPr>
              <w:t>Create a purpose-specific feature branch</w:t>
            </w:r>
          </w:p>
        </w:tc>
        <w:tc>
          <w:tcPr>
            <w:tcW w:type="dxa" w:w="4987"/>
            <w:vAlign w:val="top"/>
          </w:tcPr>
          <w:p>
            <w:pPr>
              <w:spacing w:after="20"/>
            </w:pPr>
            <w:r>
              <w:rPr>
                <w:sz w:val="17"/>
              </w:rPr>
              <w:t>Keep Stage 20/21/23/24 evidence and release decisions isolated.</w:t>
            </w:r>
          </w:p>
        </w:tc>
      </w:tr>
    </w:tbl>
    <w:p>
      <w:pPr>
        <w:pStyle w:val="Heading1"/>
      </w:pPr>
      <w:r>
        <w:t>Runtime mental model</w:t>
      </w:r>
    </w:p>
    <w:p>
      <w:r>
        <w:t>Capture produces source-timestamped frames. A selected backend performs detection/landmarks. Topology adapters convert provider indices to semantic observations. Quality gates decide whether evidence is usable. Calibration, metrics and deterministic temporal FSMs operate on those observations. Rendering, benchmark traces, statistics and future alert adapters consume snapshots; they do not own policy thresholds.</w:t>
      </w:r>
    </w:p>
    <w:p>
      <w:pPr>
        <w:pStyle w:val="Heading1"/>
      </w:pPr>
      <w:r>
        <w:t>Build products</w:t>
      </w:r>
    </w:p>
    <w:tbl>
      <w:tblPr>
        <w:tblStyle w:val="TableGrid"/>
        <w:tblW w:type="auto" w:w="0"/>
        <w:jc w:val="center"/>
        <w:tblLook w:firstColumn="1" w:firstRow="1" w:lastColumn="0" w:lastRow="0" w:noHBand="0" w:noVBand="1" w:val="04A0"/>
      </w:tblPr>
      <w:tblGrid>
        <w:gridCol w:w="4987"/>
        <w:gridCol w:w="4987"/>
        <w:gridCol w:w="4987"/>
      </w:tblGrid>
      <w:tr>
        <w:trPr>
          <w:tblHeader w:val="true"/>
        </w:trPr>
        <w:tc>
          <w:tcPr>
            <w:tcW w:type="dxa" w:w="4987"/>
            <w:shd w:fill="17365D"/>
            <w:vAlign w:val="center"/>
          </w:tcPr>
          <w:p>
            <w:r>
              <w:rPr>
                <w:b/>
                <w:color w:val="FFFFFF"/>
                <w:sz w:val="17"/>
              </w:rPr>
              <w:t>Target</w:t>
            </w:r>
          </w:p>
        </w:tc>
        <w:tc>
          <w:tcPr>
            <w:tcW w:type="dxa" w:w="4987"/>
            <w:shd w:fill="17365D"/>
            <w:vAlign w:val="center"/>
          </w:tcPr>
          <w:p>
            <w:r>
              <w:rPr>
                <w:b/>
                <w:color w:val="FFFFFF"/>
                <w:sz w:val="17"/>
              </w:rPr>
              <w:t>Role</w:t>
            </w:r>
          </w:p>
        </w:tc>
        <w:tc>
          <w:tcPr>
            <w:tcW w:type="dxa" w:w="4987"/>
            <w:shd w:fill="17365D"/>
            <w:vAlign w:val="center"/>
          </w:tcPr>
          <w:p>
            <w:r>
              <w:rPr>
                <w:b/>
                <w:color w:val="FFFFFF"/>
                <w:sz w:val="17"/>
              </w:rPr>
              <w:t>Primary files</w:t>
            </w:r>
          </w:p>
        </w:tc>
      </w:tr>
      <w:tr>
        <w:tc>
          <w:tcPr>
            <w:tcW w:type="dxa" w:w="4987"/>
            <w:vAlign w:val="top"/>
          </w:tcPr>
          <w:p>
            <w:pPr>
              <w:spacing w:after="20"/>
            </w:pPr>
            <w:r>
              <w:rPr>
                <w:sz w:val="17"/>
              </w:rPr>
              <w:t>yunet_demo</w:t>
            </w:r>
          </w:p>
        </w:tc>
        <w:tc>
          <w:tcPr>
            <w:tcW w:type="dxa" w:w="4987"/>
            <w:vAlign w:val="top"/>
          </w:tcPr>
          <w:p>
            <w:pPr>
              <w:spacing w:after="20"/>
            </w:pPr>
            <w:r>
              <w:rPr>
                <w:sz w:val="17"/>
              </w:rPr>
              <w:t>Interactive monitoring/demo</w:t>
            </w:r>
          </w:p>
        </w:tc>
        <w:tc>
          <w:tcPr>
            <w:tcW w:type="dxa" w:w="4987"/>
            <w:vAlign w:val="top"/>
          </w:tcPr>
          <w:p>
            <w:pPr>
              <w:spacing w:after="20"/>
            </w:pPr>
            <w:r>
              <w:rPr>
                <w:sz w:val="17"/>
              </w:rPr>
              <w:t>src/main.cpp plus backend, display and dms_core libraries</w:t>
            </w:r>
          </w:p>
        </w:tc>
      </w:tr>
      <w:tr>
        <w:tc>
          <w:tcPr>
            <w:tcW w:type="dxa" w:w="4987"/>
            <w:vAlign w:val="top"/>
            <w:shd w:fill="F3F6FA"/>
          </w:tcPr>
          <w:p>
            <w:pPr>
              <w:spacing w:after="20"/>
            </w:pPr>
            <w:r>
              <w:rPr>
                <w:sz w:val="17"/>
              </w:rPr>
              <w:t>face_benchmark</w:t>
            </w:r>
          </w:p>
        </w:tc>
        <w:tc>
          <w:tcPr>
            <w:tcW w:type="dxa" w:w="4987"/>
            <w:vAlign w:val="top"/>
            <w:shd w:fill="F3F6FA"/>
          </w:tcPr>
          <w:p>
            <w:pPr>
              <w:spacing w:after="20"/>
            </w:pPr>
            <w:r>
              <w:rPr>
                <w:sz w:val="17"/>
              </w:rPr>
              <w:t>Recorded/live deterministic evidence generator</w:t>
            </w:r>
          </w:p>
        </w:tc>
        <w:tc>
          <w:tcPr>
            <w:tcW w:type="dxa" w:w="4987"/>
            <w:vAlign w:val="top"/>
            <w:shd w:fill="F3F6FA"/>
          </w:tcPr>
          <w:p>
            <w:pPr>
              <w:spacing w:after="20"/>
            </w:pPr>
            <w:r>
              <w:rPr>
                <w:sz w:val="17"/>
              </w:rPr>
              <w:t>src/benchmark_main.cpp, ResourceProfiler, semantic adapters</w:t>
            </w:r>
          </w:p>
        </w:tc>
      </w:tr>
      <w:tr>
        <w:tc>
          <w:tcPr>
            <w:tcW w:type="dxa" w:w="4987"/>
            <w:vAlign w:val="top"/>
          </w:tcPr>
          <w:p>
            <w:pPr>
              <w:spacing w:after="20"/>
            </w:pPr>
            <w:r>
              <w:rPr>
                <w:sz w:val="17"/>
              </w:rPr>
              <w:t>driver_profile_admin</w:t>
            </w:r>
          </w:p>
        </w:tc>
        <w:tc>
          <w:tcPr>
            <w:tcW w:type="dxa" w:w="4987"/>
            <w:vAlign w:val="top"/>
          </w:tcPr>
          <w:p>
            <w:pPr>
              <w:spacing w:after="20"/>
            </w:pPr>
            <w:r>
              <w:rPr>
                <w:sz w:val="17"/>
              </w:rPr>
              <w:t>Separate offline profile/enrollment administration</w:t>
            </w:r>
          </w:p>
        </w:tc>
        <w:tc>
          <w:tcPr>
            <w:tcW w:type="dxa" w:w="4987"/>
            <w:vAlign w:val="top"/>
          </w:tcPr>
          <w:p>
            <w:pPr>
              <w:spacing w:after="20"/>
            </w:pPr>
            <w:r>
              <w:rPr>
                <w:sz w:val="17"/>
              </w:rPr>
              <w:t>src/driver_profile_admin.cpp, dms_core</w:t>
            </w:r>
          </w:p>
        </w:tc>
      </w:tr>
      <w:tr>
        <w:tc>
          <w:tcPr>
            <w:tcW w:type="dxa" w:w="4987"/>
            <w:vAlign w:val="top"/>
            <w:shd w:fill="F3F6FA"/>
          </w:tcPr>
          <w:p>
            <w:pPr>
              <w:spacing w:after="20"/>
            </w:pPr>
            <w:r>
              <w:rPr>
                <w:sz w:val="17"/>
              </w:rPr>
              <w:t>face_recognition_baseline / face_pad_baseline</w:t>
            </w:r>
          </w:p>
        </w:tc>
        <w:tc>
          <w:tcPr>
            <w:tcW w:type="dxa" w:w="4987"/>
            <w:vAlign w:val="top"/>
            <w:shd w:fill="F3F6FA"/>
          </w:tcPr>
          <w:p>
            <w:pPr>
              <w:spacing w:after="20"/>
            </w:pPr>
            <w:r>
              <w:rPr>
                <w:sz w:val="17"/>
              </w:rPr>
              <w:t>Evaluation-only model plumbing</w:t>
            </w:r>
          </w:p>
        </w:tc>
        <w:tc>
          <w:tcPr>
            <w:tcW w:type="dxa" w:w="4987"/>
            <w:vAlign w:val="top"/>
            <w:shd w:fill="F3F6FA"/>
          </w:tcPr>
          <w:p>
            <w:pPr>
              <w:spacing w:after="20"/>
            </w:pPr>
            <w:r>
              <w:rPr>
                <w:sz w:val="17"/>
              </w:rPr>
              <w:t>src/recognition_baseline.cpp; src/pad_baseline.cpp</w:t>
            </w:r>
          </w:p>
        </w:tc>
      </w:tr>
      <w:tr>
        <w:tc>
          <w:tcPr>
            <w:tcW w:type="dxa" w:w="4987"/>
            <w:vAlign w:val="top"/>
          </w:tcPr>
          <w:p>
            <w:pPr>
              <w:spacing w:after="20"/>
            </w:pPr>
            <w:r>
              <w:rPr>
                <w:sz w:val="17"/>
              </w:rPr>
              <w:t>dms_sponsor_selftest</w:t>
            </w:r>
          </w:p>
        </w:tc>
        <w:tc>
          <w:tcPr>
            <w:tcW w:type="dxa" w:w="4987"/>
            <w:vAlign w:val="top"/>
          </w:tcPr>
          <w:p>
            <w:pPr>
              <w:spacing w:after="20"/>
            </w:pPr>
            <w:r>
              <w:rPr>
                <w:sz w:val="17"/>
              </w:rPr>
              <w:t>Packaged non-camera health check</w:t>
            </w:r>
          </w:p>
        </w:tc>
        <w:tc>
          <w:tcPr>
            <w:tcW w:type="dxa" w:w="4987"/>
            <w:vAlign w:val="top"/>
          </w:tcPr>
          <w:p>
            <w:pPr>
              <w:spacing w:after="20"/>
            </w:pPr>
            <w:r>
              <w:rPr>
                <w:sz w:val="17"/>
              </w:rPr>
              <w:t>src/sponsor_selftest.cpp</w:t>
            </w:r>
          </w:p>
        </w:tc>
      </w:tr>
      <w:tr>
        <w:tc>
          <w:tcPr>
            <w:tcW w:type="dxa" w:w="4987"/>
            <w:vAlign w:val="top"/>
            <w:shd w:fill="F3F6FA"/>
          </w:tcPr>
          <w:p>
            <w:pPr>
              <w:spacing w:after="20"/>
            </w:pPr>
            <w:r>
              <w:rPr>
                <w:sz w:val="17"/>
              </w:rPr>
              <w:t>FaceMediaPipe</w:t>
            </w:r>
          </w:p>
        </w:tc>
        <w:tc>
          <w:tcPr>
            <w:tcW w:type="dxa" w:w="4987"/>
            <w:vAlign w:val="top"/>
            <w:shd w:fill="F3F6FA"/>
          </w:tcPr>
          <w:p>
            <w:pPr>
              <w:spacing w:after="20"/>
            </w:pPr>
            <w:r>
              <w:rPr>
                <w:sz w:val="17"/>
              </w:rPr>
              <w:t>Optional Bazel-built runtime bridge</w:t>
            </w:r>
          </w:p>
        </w:tc>
        <w:tc>
          <w:tcPr>
            <w:tcW w:type="dxa" w:w="4987"/>
            <w:vAlign w:val="top"/>
            <w:shd w:fill="F3F6FA"/>
          </w:tcPr>
          <w:p>
            <w:pPr>
              <w:spacing w:after="20"/>
            </w:pPr>
            <w:r>
              <w:rPr>
                <w:sz w:val="17"/>
              </w:rPr>
              <w:t>mediapipe/api and mediapipe/src</w:t>
            </w:r>
          </w:p>
        </w:tc>
      </w:tr>
    </w:tbl>
    <w:p>
      <w:r>
        <w:br w:type="page"/>
      </w:r>
    </w:p>
    <w:p>
      <w:pPr>
        <w:pStyle w:val="Heading1"/>
      </w:pPr>
      <w:r>
        <w:t>Public interfaces — include/</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include/AppPaths.hpp</w:t>
            </w:r>
          </w:p>
        </w:tc>
        <w:tc>
          <w:tcPr>
            <w:tcW w:type="dxa" w:w="1440"/>
            <w:vAlign w:val="top"/>
          </w:tcPr>
          <w:p>
            <w:pPr>
              <w:spacing w:after="20"/>
            </w:pPr>
            <w:r>
              <w:rPr>
                <w:sz w:val="14"/>
              </w:rPr>
              <w:t>Contract</w:t>
            </w:r>
          </w:p>
        </w:tc>
        <w:tc>
          <w:tcPr>
            <w:tcW w:type="dxa" w:w="6624"/>
            <w:vAlign w:val="top"/>
          </w:tcPr>
          <w:p>
            <w:pPr>
              <w:spacing w:after="20"/>
            </w:pPr>
            <w:r>
              <w:rPr>
                <w:sz w:val="14"/>
              </w:rPr>
              <w:t>resolves executable-relative model and package paths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include/BackendEyeMapper.hpp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normalizes provider landmarks into semantic eye contours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include/BackendFaceGeometryMapper.hpp</w:t>
            </w:r>
          </w:p>
        </w:tc>
        <w:tc>
          <w:tcPr>
            <w:tcW w:type="dxa" w:w="1440"/>
            <w:vAlign w:val="top"/>
          </w:tcPr>
          <w:p>
            <w:pPr>
              <w:spacing w:after="20"/>
            </w:pPr>
            <w:r>
              <w:rPr>
                <w:sz w:val="14"/>
              </w:rPr>
              <w:t>Contract</w:t>
            </w:r>
          </w:p>
        </w:tc>
        <w:tc>
          <w:tcPr>
            <w:tcW w:type="dxa" w:w="6624"/>
            <w:vAlign w:val="top"/>
          </w:tcPr>
          <w:p>
            <w:pPr>
              <w:spacing w:after="20"/>
            </w:pPr>
            <w:r>
              <w:rPr>
                <w:sz w:val="14"/>
              </w:rPr>
              <w:t>maps provider output to provider-neutral facial geometry</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include/BackendGazeMapper.hpp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derives semantic gaze inputs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include/BackendOptions.hpp</w:t>
            </w:r>
          </w:p>
        </w:tc>
        <w:tc>
          <w:tcPr>
            <w:tcW w:type="dxa" w:w="1440"/>
            <w:vAlign w:val="top"/>
          </w:tcPr>
          <w:p>
            <w:pPr>
              <w:spacing w:after="20"/>
            </w:pPr>
            <w:r>
              <w:rPr>
                <w:sz w:val="14"/>
              </w:rPr>
              <w:t>Contract</w:t>
            </w:r>
          </w:p>
        </w:tc>
        <w:tc>
          <w:tcPr>
            <w:tcW w:type="dxa" w:w="6624"/>
            <w:vAlign w:val="top"/>
          </w:tcPr>
          <w:p>
            <w:pPr>
              <w:spacing w:after="20"/>
            </w:pPr>
            <w:r>
              <w:rPr>
                <w:sz w:val="14"/>
              </w:rPr>
              <w:t>parses backend/provider command-line selection</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include/BenchmarkOptions.hpp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parses benchmark, input, ROI and profiling options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include/BlinkTracker.hpp</w:t>
            </w:r>
          </w:p>
        </w:tc>
        <w:tc>
          <w:tcPr>
            <w:tcW w:type="dxa" w:w="1440"/>
            <w:vAlign w:val="top"/>
          </w:tcPr>
          <w:p>
            <w:pPr>
              <w:spacing w:after="20"/>
            </w:pPr>
            <w:r>
              <w:rPr>
                <w:sz w:val="14"/>
              </w:rPr>
              <w:t>Contract</w:t>
            </w:r>
          </w:p>
        </w:tc>
        <w:tc>
          <w:tcPr>
            <w:tcW w:type="dxa" w:w="6624"/>
            <w:vAlign w:val="top"/>
          </w:tcPr>
          <w:p>
            <w:pPr>
              <w:spacing w:after="20"/>
            </w:pPr>
            <w:r>
              <w:rPr>
                <w:sz w:val="14"/>
              </w:rPr>
              <w:t>legacy EAR blink state tracker used by the camera/demo path</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include/DisplayAoiAdapter.hpp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creates display-only full/face/eyes/mouth views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include/DmsEyeMetrics.hpp</w:t>
            </w:r>
          </w:p>
        </w:tc>
        <w:tc>
          <w:tcPr>
            <w:tcW w:type="dxa" w:w="1440"/>
            <w:vAlign w:val="top"/>
          </w:tcPr>
          <w:p>
            <w:pPr>
              <w:spacing w:after="20"/>
            </w:pPr>
            <w:r>
              <w:rPr>
                <w:sz w:val="14"/>
              </w:rPr>
              <w:t>Contract</w:t>
            </w:r>
          </w:p>
        </w:tc>
        <w:tc>
          <w:tcPr>
            <w:tcW w:type="dxa" w:w="6624"/>
            <w:vAlign w:val="top"/>
          </w:tcPr>
          <w:p>
            <w:pPr>
              <w:spacing w:after="20"/>
            </w:pPr>
            <w:r>
              <w:rPr>
                <w:sz w:val="14"/>
              </w:rPr>
              <w:t>quality-gated per-driver eye calibration and eye temporal metrics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include/DmsEyeQualityAssessor.hpp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scores eye ROI visibility/usability</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include/DmsEyeStatistics.hpp</w:t>
            </w:r>
          </w:p>
        </w:tc>
        <w:tc>
          <w:tcPr>
            <w:tcW w:type="dxa" w:w="1440"/>
            <w:vAlign w:val="top"/>
          </w:tcPr>
          <w:p>
            <w:pPr>
              <w:spacing w:after="20"/>
            </w:pPr>
            <w:r>
              <w:rPr>
                <w:sz w:val="14"/>
              </w:rPr>
              <w:t>Contract</w:t>
            </w:r>
          </w:p>
        </w:tc>
        <w:tc>
          <w:tcPr>
            <w:tcW w:type="dxa" w:w="6624"/>
            <w:vAlign w:val="top"/>
          </w:tcPr>
          <w:p>
            <w:pPr>
              <w:spacing w:after="20"/>
            </w:pPr>
            <w:r>
              <w:rPr>
                <w:sz w:val="14"/>
              </w:rPr>
              <w:t>cumulative and configurable rolling eye-open/blink statistics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include/DmsHeadPoseEstimator.hpp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head-pose estimation and neutral-pose calibration</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include/DmsObservation.hpp</w:t>
            </w:r>
          </w:p>
        </w:tc>
        <w:tc>
          <w:tcPr>
            <w:tcW w:type="dxa" w:w="1440"/>
            <w:vAlign w:val="top"/>
          </w:tcPr>
          <w:p>
            <w:pPr>
              <w:spacing w:after="20"/>
            </w:pPr>
            <w:r>
              <w:rPr>
                <w:sz w:val="14"/>
              </w:rPr>
              <w:t>Contract</w:t>
            </w:r>
          </w:p>
        </w:tc>
        <w:tc>
          <w:tcPr>
            <w:tcW w:type="dxa" w:w="6624"/>
            <w:vAlign w:val="top"/>
          </w:tcPr>
          <w:p>
            <w:pPr>
              <w:spacing w:after="20"/>
            </w:pPr>
            <w:r>
              <w:rPr>
                <w:sz w:val="14"/>
              </w:rPr>
              <w:t>timestamped semantic observation and freshness contracts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include/DmsPolicy.hpp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named operational policy defaults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include/DmsPresentationConfig.hpp</w:t>
            </w:r>
          </w:p>
        </w:tc>
        <w:tc>
          <w:tcPr>
            <w:tcW w:type="dxa" w:w="1440"/>
            <w:vAlign w:val="top"/>
          </w:tcPr>
          <w:p>
            <w:pPr>
              <w:spacing w:after="20"/>
            </w:pPr>
            <w:r>
              <w:rPr>
                <w:sz w:val="14"/>
              </w:rPr>
              <w:t>Contract</w:t>
            </w:r>
          </w:p>
        </w:tc>
        <w:tc>
          <w:tcPr>
            <w:tcW w:type="dxa" w:w="6624"/>
            <w:vAlign w:val="top"/>
          </w:tcPr>
          <w:p>
            <w:pPr>
              <w:spacing w:after="20"/>
            </w:pPr>
            <w:r>
              <w:rPr>
                <w:sz w:val="14"/>
              </w:rPr>
              <w:t>typed presentation, processing ROI and statistics configuration</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include/DmsPresentationConfigLoader.hpp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strict schema-versioned configuration loader</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include/DmsScheduler.hpp</w:t>
            </w:r>
          </w:p>
        </w:tc>
        <w:tc>
          <w:tcPr>
            <w:tcW w:type="dxa" w:w="1440"/>
            <w:vAlign w:val="top"/>
          </w:tcPr>
          <w:p>
            <w:pPr>
              <w:spacing w:after="20"/>
            </w:pPr>
            <w:r>
              <w:rPr>
                <w:sz w:val="14"/>
              </w:rPr>
              <w:t>Contract</w:t>
            </w:r>
          </w:p>
        </w:tc>
        <w:tc>
          <w:tcPr>
            <w:tcW w:type="dxa" w:w="6624"/>
            <w:vAlign w:val="top"/>
          </w:tcPr>
          <w:p>
            <w:pPr>
              <w:spacing w:after="20"/>
            </w:pPr>
            <w:r>
              <w:rPr>
                <w:sz w:val="14"/>
              </w:rPr>
              <w:t>independent task cadence and depth-one latest-frame scheduling</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include/DmsTemporalEvents.hpp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yawn, pose, gaze, presence, availability and drowsiness FSMs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include/DriverIdentity.hpp</w:t>
            </w:r>
          </w:p>
        </w:tc>
        <w:tc>
          <w:tcPr>
            <w:tcW w:type="dxa" w:w="1440"/>
            <w:vAlign w:val="top"/>
          </w:tcPr>
          <w:p>
            <w:pPr>
              <w:spacing w:after="20"/>
            </w:pPr>
            <w:r>
              <w:rPr>
                <w:sz w:val="14"/>
              </w:rPr>
              <w:t>Contract</w:t>
            </w:r>
          </w:p>
        </w:tc>
        <w:tc>
          <w:tcPr>
            <w:tcW w:type="dxa" w:w="6624"/>
            <w:vAlign w:val="top"/>
          </w:tcPr>
          <w:p>
            <w:pPr>
              <w:spacing w:after="20"/>
            </w:pPr>
            <w:r>
              <w:rPr>
                <w:sz w:val="14"/>
              </w:rPr>
              <w:t>provider-neutral identity, embedding, PAD and store interfaces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include/DriverIdentityMatcher.hpp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open-set candidate matching and ambiguity handling</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include/DriverProfileDatabase.hpp</w:t>
            </w:r>
          </w:p>
        </w:tc>
        <w:tc>
          <w:tcPr>
            <w:tcW w:type="dxa" w:w="1440"/>
            <w:vAlign w:val="top"/>
          </w:tcPr>
          <w:p>
            <w:pPr>
              <w:spacing w:after="20"/>
            </w:pPr>
            <w:r>
              <w:rPr>
                <w:sz w:val="14"/>
              </w:rPr>
              <w:t>Contract</w:t>
            </w:r>
          </w:p>
        </w:tc>
        <w:tc>
          <w:tcPr>
            <w:tcW w:type="dxa" w:w="6624"/>
            <w:vAlign w:val="top"/>
          </w:tcPr>
          <w:p>
            <w:pPr>
              <w:spacing w:after="20"/>
            </w:pPr>
            <w:r>
              <w:rPr>
                <w:sz w:val="14"/>
              </w:rPr>
              <w:t>bounded profile serialization, import conflicts and deletion</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include/EncryptedProfileBundle.hpp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AES-256-GCM profile storage and platform crypto adapters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include/EyeCropExtractor.hpp</w:t>
            </w:r>
          </w:p>
        </w:tc>
        <w:tc>
          <w:tcPr>
            <w:tcW w:type="dxa" w:w="1440"/>
            <w:vAlign w:val="top"/>
          </w:tcPr>
          <w:p>
            <w:pPr>
              <w:spacing w:after="20"/>
            </w:pPr>
            <w:r>
              <w:rPr>
                <w:sz w:val="14"/>
              </w:rPr>
              <w:t>Contract</w:t>
            </w:r>
          </w:p>
        </w:tc>
        <w:tc>
          <w:tcPr>
            <w:tcW w:type="dxa" w:w="6624"/>
            <w:vAlign w:val="top"/>
          </w:tcPr>
          <w:p>
            <w:pPr>
              <w:spacing w:after="20"/>
            </w:pPr>
            <w:r>
              <w:rPr>
                <w:sz w:val="14"/>
              </w:rPr>
              <w:t>extracts normalized eye ROI crops for audit/annotation</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include/EyeLandmarks.hpp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named eye landmark structures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include/FaceBackend.hpp</w:t>
            </w:r>
          </w:p>
        </w:tc>
        <w:tc>
          <w:tcPr>
            <w:tcW w:type="dxa" w:w="1440"/>
            <w:vAlign w:val="top"/>
          </w:tcPr>
          <w:p>
            <w:pPr>
              <w:spacing w:after="20"/>
            </w:pPr>
            <w:r>
              <w:rPr>
                <w:sz w:val="14"/>
              </w:rPr>
              <w:t>Contract</w:t>
            </w:r>
          </w:p>
        </w:tc>
        <w:tc>
          <w:tcPr>
            <w:tcW w:type="dxa" w:w="6624"/>
            <w:vAlign w:val="top"/>
          </w:tcPr>
          <w:p>
            <w:pPr>
              <w:spacing w:after="20"/>
            </w:pPr>
            <w:r>
              <w:rPr>
                <w:sz w:val="14"/>
              </w:rPr>
              <w:t>common detector/landmark backend contract</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include/FaceDetector.hpp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OpenCV YuNet face detector wrapper</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include/FaceMediaPipeRuntime.hpp</w:t>
            </w:r>
          </w:p>
        </w:tc>
        <w:tc>
          <w:tcPr>
            <w:tcW w:type="dxa" w:w="1440"/>
            <w:vAlign w:val="top"/>
          </w:tcPr>
          <w:p>
            <w:pPr>
              <w:spacing w:after="20"/>
            </w:pPr>
            <w:r>
              <w:rPr>
                <w:sz w:val="14"/>
              </w:rPr>
              <w:t>Contract</w:t>
            </w:r>
          </w:p>
        </w:tc>
        <w:tc>
          <w:tcPr>
            <w:tcW w:type="dxa" w:w="6624"/>
            <w:vAlign w:val="top"/>
          </w:tcPr>
          <w:p>
            <w:pPr>
              <w:spacing w:after="20"/>
            </w:pPr>
            <w:r>
              <w:rPr>
                <w:sz w:val="14"/>
              </w:rPr>
              <w:t>runtime loads the optional MediaPipe C ABI</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include/LbfEyeLandmarkMapper.hpp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maps OpenCV LBF 68-point eyes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include/LbfLandmarkDetector.hpp</w:t>
            </w:r>
          </w:p>
        </w:tc>
        <w:tc>
          <w:tcPr>
            <w:tcW w:type="dxa" w:w="1440"/>
            <w:vAlign w:val="top"/>
          </w:tcPr>
          <w:p>
            <w:pPr>
              <w:spacing w:after="20"/>
            </w:pPr>
            <w:r>
              <w:rPr>
                <w:sz w:val="14"/>
              </w:rPr>
              <w:t>Contract</w:t>
            </w:r>
          </w:p>
        </w:tc>
        <w:tc>
          <w:tcPr>
            <w:tcW w:type="dxa" w:w="6624"/>
            <w:vAlign w:val="top"/>
          </w:tcPr>
          <w:p>
            <w:pPr>
              <w:spacing w:after="20"/>
            </w:pPr>
            <w:r>
              <w:rPr>
                <w:sz w:val="14"/>
              </w:rPr>
              <w:t>OpenCV facemark LBF wrapper</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include/MediaPipeBackend.hpp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FaceBackend implementation for runtime MediaPipe</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include/MediaPipeEyeLandmarkMapper.hpp</w:t>
            </w:r>
          </w:p>
        </w:tc>
        <w:tc>
          <w:tcPr>
            <w:tcW w:type="dxa" w:w="1440"/>
            <w:vAlign w:val="top"/>
          </w:tcPr>
          <w:p>
            <w:pPr>
              <w:spacing w:after="20"/>
            </w:pPr>
            <w:r>
              <w:rPr>
                <w:sz w:val="14"/>
              </w:rPr>
              <w:t>Contract</w:t>
            </w:r>
          </w:p>
        </w:tc>
        <w:tc>
          <w:tcPr>
            <w:tcW w:type="dxa" w:w="6624"/>
            <w:vAlign w:val="top"/>
          </w:tcPr>
          <w:p>
            <w:pPr>
              <w:spacing w:after="20"/>
            </w:pPr>
            <w:r>
              <w:rPr>
                <w:sz w:val="14"/>
              </w:rPr>
              <w:t>maps MediaPipe topology to semantic eyes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include/PfldEyeLandmarkMapper.hpp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maps PFLD topology to semantic eyes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include/PfldLandmarkProvider.hpp</w:t>
            </w:r>
          </w:p>
        </w:tc>
        <w:tc>
          <w:tcPr>
            <w:tcW w:type="dxa" w:w="1440"/>
            <w:vAlign w:val="top"/>
          </w:tcPr>
          <w:p>
            <w:pPr>
              <w:spacing w:after="20"/>
            </w:pPr>
            <w:r>
              <w:rPr>
                <w:sz w:val="14"/>
              </w:rPr>
              <w:t>Contract</w:t>
            </w:r>
          </w:p>
        </w:tc>
        <w:tc>
          <w:tcPr>
            <w:tcW w:type="dxa" w:w="6624"/>
            <w:vAlign w:val="top"/>
          </w:tcPr>
          <w:p>
            <w:pPr>
              <w:spacing w:after="20"/>
            </w:pPr>
            <w:r>
              <w:rPr>
                <w:sz w:val="14"/>
              </w:rPr>
              <w:t>OpenCV-DNN PFLD inference wrapper</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include/ProcessingRoiAdapter.hpp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crops configured processing ROI and restores coordinates</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include/RecordedFrameClock.hpp</w:t>
            </w:r>
          </w:p>
        </w:tc>
        <w:tc>
          <w:tcPr>
            <w:tcW w:type="dxa" w:w="1440"/>
            <w:vAlign w:val="top"/>
          </w:tcPr>
          <w:p>
            <w:pPr>
              <w:spacing w:after="20"/>
            </w:pPr>
            <w:r>
              <w:rPr>
                <w:sz w:val="14"/>
              </w:rPr>
              <w:t>Contract</w:t>
            </w:r>
          </w:p>
        </w:tc>
        <w:tc>
          <w:tcPr>
            <w:tcW w:type="dxa" w:w="6624"/>
            <w:vAlign w:val="top"/>
          </w:tcPr>
          <w:p>
            <w:pPr>
              <w:spacing w:after="20"/>
            </w:pPr>
            <w:r>
              <w:rPr>
                <w:sz w:val="14"/>
              </w:rPr>
              <w:t>monotonic source-frame timestamps</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include/ResourceProfiler.hpp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periodic process/core/RSS/thread/phase profiler</w:t>
            </w:r>
          </w:p>
        </w:tc>
        <w:tc>
          <w:tcPr>
            <w:tcW w:type="dxa" w:w="3168"/>
            <w:vAlign w:val="top"/>
            <w:shd w:fill="F3F6FA"/>
          </w:tcPr>
          <w:p>
            <w:pPr>
              <w:spacing w:after="20"/>
            </w:pPr>
            <w:r>
              <w:rPr>
                <w:sz w:val="14"/>
              </w:rPr>
              <w:t>Change with its paired implementation and focused test.</w:t>
            </w:r>
          </w:p>
        </w:tc>
      </w:tr>
      <w:tr>
        <w:tc>
          <w:tcPr>
            <w:tcW w:type="dxa" w:w="3312"/>
            <w:vAlign w:val="top"/>
          </w:tcPr>
          <w:p>
            <w:pPr>
              <w:spacing w:after="20"/>
            </w:pPr>
            <w:r>
              <w:rPr>
                <w:sz w:val="14"/>
              </w:rPr>
              <w:t>include/YuNetLbfBackend.hpp</w:t>
            </w:r>
          </w:p>
        </w:tc>
        <w:tc>
          <w:tcPr>
            <w:tcW w:type="dxa" w:w="1440"/>
            <w:vAlign w:val="top"/>
          </w:tcPr>
          <w:p>
            <w:pPr>
              <w:spacing w:after="20"/>
            </w:pPr>
            <w:r>
              <w:rPr>
                <w:sz w:val="14"/>
              </w:rPr>
              <w:t>Contract</w:t>
            </w:r>
          </w:p>
        </w:tc>
        <w:tc>
          <w:tcPr>
            <w:tcW w:type="dxa" w:w="6624"/>
            <w:vAlign w:val="top"/>
          </w:tcPr>
          <w:p>
            <w:pPr>
              <w:spacing w:after="20"/>
            </w:pPr>
            <w:r>
              <w:rPr>
                <w:sz w:val="14"/>
              </w:rPr>
              <w:t>real-time YuNet plus LBF backend</w:t>
            </w:r>
          </w:p>
        </w:tc>
        <w:tc>
          <w:tcPr>
            <w:tcW w:type="dxa" w:w="3168"/>
            <w:vAlign w:val="top"/>
          </w:tcPr>
          <w:p>
            <w:pPr>
              <w:spacing w:after="20"/>
            </w:pPr>
            <w:r>
              <w:rPr>
                <w:sz w:val="14"/>
              </w:rPr>
              <w:t>Change with its paired implementation and focused test.</w:t>
            </w:r>
          </w:p>
        </w:tc>
      </w:tr>
      <w:tr>
        <w:tc>
          <w:tcPr>
            <w:tcW w:type="dxa" w:w="3312"/>
            <w:vAlign w:val="top"/>
            <w:shd w:fill="F3F6FA"/>
          </w:tcPr>
          <w:p>
            <w:pPr>
              <w:spacing w:after="20"/>
            </w:pPr>
            <w:r>
              <w:rPr>
                <w:sz w:val="14"/>
              </w:rPr>
              <w:t>include/YuNetPfldBackend.hpp</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candidate YuNet plus PFLD backend</w:t>
            </w:r>
          </w:p>
        </w:tc>
        <w:tc>
          <w:tcPr>
            <w:tcW w:type="dxa" w:w="3168"/>
            <w:vAlign w:val="top"/>
            <w:shd w:fill="F3F6FA"/>
          </w:tcPr>
          <w:p>
            <w:pPr>
              <w:spacing w:after="20"/>
            </w:pPr>
            <w:r>
              <w:rPr>
                <w:sz w:val="14"/>
              </w:rPr>
              <w:t>Change with its paired implementation and focused test.</w:t>
            </w:r>
          </w:p>
        </w:tc>
      </w:tr>
    </w:tbl>
    <w:p>
      <w:r>
        <w:br w:type="page"/>
      </w:r>
    </w:p>
    <w:p>
      <w:pPr>
        <w:pStyle w:val="Heading1"/>
      </w:pPr>
      <w:r>
        <w:t>C++ implementations and executables — src/</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src/AppPaths.cpp</w:t>
            </w:r>
          </w:p>
        </w:tc>
        <w:tc>
          <w:tcPr>
            <w:tcW w:type="dxa" w:w="1440"/>
            <w:vAlign w:val="top"/>
          </w:tcPr>
          <w:p>
            <w:pPr>
              <w:spacing w:after="20"/>
            </w:pPr>
            <w:r>
              <w:rPr>
                <w:sz w:val="14"/>
              </w:rPr>
              <w:t>Implementation / tool</w:t>
            </w:r>
          </w:p>
        </w:tc>
        <w:tc>
          <w:tcPr>
            <w:tcW w:type="dxa" w:w="6624"/>
            <w:vAlign w:val="top"/>
          </w:tcPr>
          <w:p>
            <w:pPr>
              <w:spacing w:after="20"/>
            </w:pPr>
            <w:r>
              <w:rPr>
                <w:sz w:val="14"/>
              </w:rPr>
              <w:t>resolves executable-relative model and package paths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src/BackendEyeMapper.cpp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normalizes provider landmarks into semantic eye contours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src/BackendFaceGeometryMapper.cpp</w:t>
            </w:r>
          </w:p>
        </w:tc>
        <w:tc>
          <w:tcPr>
            <w:tcW w:type="dxa" w:w="1440"/>
            <w:vAlign w:val="top"/>
          </w:tcPr>
          <w:p>
            <w:pPr>
              <w:spacing w:after="20"/>
            </w:pPr>
            <w:r>
              <w:rPr>
                <w:sz w:val="14"/>
              </w:rPr>
              <w:t>Implementation / tool</w:t>
            </w:r>
          </w:p>
        </w:tc>
        <w:tc>
          <w:tcPr>
            <w:tcW w:type="dxa" w:w="6624"/>
            <w:vAlign w:val="top"/>
          </w:tcPr>
          <w:p>
            <w:pPr>
              <w:spacing w:after="20"/>
            </w:pPr>
            <w:r>
              <w:rPr>
                <w:sz w:val="14"/>
              </w:rPr>
              <w:t>maps provider output to provider-neutral facial geometry</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src/BackendGazeMapper.cpp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derives semantic gaze inputs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src/BackendOptions.cpp</w:t>
            </w:r>
          </w:p>
        </w:tc>
        <w:tc>
          <w:tcPr>
            <w:tcW w:type="dxa" w:w="1440"/>
            <w:vAlign w:val="top"/>
          </w:tcPr>
          <w:p>
            <w:pPr>
              <w:spacing w:after="20"/>
            </w:pPr>
            <w:r>
              <w:rPr>
                <w:sz w:val="14"/>
              </w:rPr>
              <w:t>Implementation / tool</w:t>
            </w:r>
          </w:p>
        </w:tc>
        <w:tc>
          <w:tcPr>
            <w:tcW w:type="dxa" w:w="6624"/>
            <w:vAlign w:val="top"/>
          </w:tcPr>
          <w:p>
            <w:pPr>
              <w:spacing w:after="20"/>
            </w:pPr>
            <w:r>
              <w:rPr>
                <w:sz w:val="14"/>
              </w:rPr>
              <w:t>parses backend/provider command-line selection</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src/BenchmarkOptions.cpp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parses benchmark, input, ROI and profiling options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src/BlinkTracker.cpp</w:t>
            </w:r>
          </w:p>
        </w:tc>
        <w:tc>
          <w:tcPr>
            <w:tcW w:type="dxa" w:w="1440"/>
            <w:vAlign w:val="top"/>
          </w:tcPr>
          <w:p>
            <w:pPr>
              <w:spacing w:after="20"/>
            </w:pPr>
            <w:r>
              <w:rPr>
                <w:sz w:val="14"/>
              </w:rPr>
              <w:t>Implementation / tool</w:t>
            </w:r>
          </w:p>
        </w:tc>
        <w:tc>
          <w:tcPr>
            <w:tcW w:type="dxa" w:w="6624"/>
            <w:vAlign w:val="top"/>
          </w:tcPr>
          <w:p>
            <w:pPr>
              <w:spacing w:after="20"/>
            </w:pPr>
            <w:r>
              <w:rPr>
                <w:sz w:val="14"/>
              </w:rPr>
              <w:t>legacy EAR blink state tracker used by the camera/demo path</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src/DisplayAoiAdapter.cpp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creates display-only full/face/eyes/mouth views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src/DmsEyeMetrics.cpp</w:t>
            </w:r>
          </w:p>
        </w:tc>
        <w:tc>
          <w:tcPr>
            <w:tcW w:type="dxa" w:w="1440"/>
            <w:vAlign w:val="top"/>
          </w:tcPr>
          <w:p>
            <w:pPr>
              <w:spacing w:after="20"/>
            </w:pPr>
            <w:r>
              <w:rPr>
                <w:sz w:val="14"/>
              </w:rPr>
              <w:t>Implementation / tool</w:t>
            </w:r>
          </w:p>
        </w:tc>
        <w:tc>
          <w:tcPr>
            <w:tcW w:type="dxa" w:w="6624"/>
            <w:vAlign w:val="top"/>
          </w:tcPr>
          <w:p>
            <w:pPr>
              <w:spacing w:after="20"/>
            </w:pPr>
            <w:r>
              <w:rPr>
                <w:sz w:val="14"/>
              </w:rPr>
              <w:t>quality-gated per-driver eye calibration and eye temporal metrics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src/DmsEyeQualityAssessor.cpp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scores eye ROI visibility/usability</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src/DmsEyeStatistics.cpp</w:t>
            </w:r>
          </w:p>
        </w:tc>
        <w:tc>
          <w:tcPr>
            <w:tcW w:type="dxa" w:w="1440"/>
            <w:vAlign w:val="top"/>
          </w:tcPr>
          <w:p>
            <w:pPr>
              <w:spacing w:after="20"/>
            </w:pPr>
            <w:r>
              <w:rPr>
                <w:sz w:val="14"/>
              </w:rPr>
              <w:t>Implementation / tool</w:t>
            </w:r>
          </w:p>
        </w:tc>
        <w:tc>
          <w:tcPr>
            <w:tcW w:type="dxa" w:w="6624"/>
            <w:vAlign w:val="top"/>
          </w:tcPr>
          <w:p>
            <w:pPr>
              <w:spacing w:after="20"/>
            </w:pPr>
            <w:r>
              <w:rPr>
                <w:sz w:val="14"/>
              </w:rPr>
              <w:t>cumulative and configurable rolling eye-open/blink statistics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src/DmsHeadPoseEstimator.cpp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head-pose estimation and neutral-pose calibration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src/DmsObservation.cpp</w:t>
            </w:r>
          </w:p>
        </w:tc>
        <w:tc>
          <w:tcPr>
            <w:tcW w:type="dxa" w:w="1440"/>
            <w:vAlign w:val="top"/>
          </w:tcPr>
          <w:p>
            <w:pPr>
              <w:spacing w:after="20"/>
            </w:pPr>
            <w:r>
              <w:rPr>
                <w:sz w:val="14"/>
              </w:rPr>
              <w:t>Implementation / tool</w:t>
            </w:r>
          </w:p>
        </w:tc>
        <w:tc>
          <w:tcPr>
            <w:tcW w:type="dxa" w:w="6624"/>
            <w:vAlign w:val="top"/>
          </w:tcPr>
          <w:p>
            <w:pPr>
              <w:spacing w:after="20"/>
            </w:pPr>
            <w:r>
              <w:rPr>
                <w:sz w:val="14"/>
              </w:rPr>
              <w:t>timestamped semantic observation and freshness contracts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src/DmsPolicy.cpp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named operational policy defaults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src/DmsPresentationConfig.cpp</w:t>
            </w:r>
          </w:p>
        </w:tc>
        <w:tc>
          <w:tcPr>
            <w:tcW w:type="dxa" w:w="1440"/>
            <w:vAlign w:val="top"/>
          </w:tcPr>
          <w:p>
            <w:pPr>
              <w:spacing w:after="20"/>
            </w:pPr>
            <w:r>
              <w:rPr>
                <w:sz w:val="14"/>
              </w:rPr>
              <w:t>Implementation / tool</w:t>
            </w:r>
          </w:p>
        </w:tc>
        <w:tc>
          <w:tcPr>
            <w:tcW w:type="dxa" w:w="6624"/>
            <w:vAlign w:val="top"/>
          </w:tcPr>
          <w:p>
            <w:pPr>
              <w:spacing w:after="20"/>
            </w:pPr>
            <w:r>
              <w:rPr>
                <w:sz w:val="14"/>
              </w:rPr>
              <w:t>typed presentation, processing ROI and statistics configuration</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src/DmsPresentationConfigLoader.cpp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strict schema-versioned configuration loader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src/DmsScheduler.cpp</w:t>
            </w:r>
          </w:p>
        </w:tc>
        <w:tc>
          <w:tcPr>
            <w:tcW w:type="dxa" w:w="1440"/>
            <w:vAlign w:val="top"/>
          </w:tcPr>
          <w:p>
            <w:pPr>
              <w:spacing w:after="20"/>
            </w:pPr>
            <w:r>
              <w:rPr>
                <w:sz w:val="14"/>
              </w:rPr>
              <w:t>Implementation / tool</w:t>
            </w:r>
          </w:p>
        </w:tc>
        <w:tc>
          <w:tcPr>
            <w:tcW w:type="dxa" w:w="6624"/>
            <w:vAlign w:val="top"/>
          </w:tcPr>
          <w:p>
            <w:pPr>
              <w:spacing w:after="20"/>
            </w:pPr>
            <w:r>
              <w:rPr>
                <w:sz w:val="14"/>
              </w:rPr>
              <w:t>independent task cadence and depth-one latest-frame scheduling</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src/DmsTemporalEvents.cpp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yawn, pose, gaze, presence, availability and drowsiness FSMs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src/DriverIdentityMatcher.cpp</w:t>
            </w:r>
          </w:p>
        </w:tc>
        <w:tc>
          <w:tcPr>
            <w:tcW w:type="dxa" w:w="1440"/>
            <w:vAlign w:val="top"/>
          </w:tcPr>
          <w:p>
            <w:pPr>
              <w:spacing w:after="20"/>
            </w:pPr>
            <w:r>
              <w:rPr>
                <w:sz w:val="14"/>
              </w:rPr>
              <w:t>Implementation / tool</w:t>
            </w:r>
          </w:p>
        </w:tc>
        <w:tc>
          <w:tcPr>
            <w:tcW w:type="dxa" w:w="6624"/>
            <w:vAlign w:val="top"/>
          </w:tcPr>
          <w:p>
            <w:pPr>
              <w:spacing w:after="20"/>
            </w:pPr>
            <w:r>
              <w:rPr>
                <w:sz w:val="14"/>
              </w:rPr>
              <w:t>open-set candidate matching and ambiguity handling</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src/DriverProfileDatabase.cpp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bounded profile serialization, import conflicts and deletion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src/EncryptedProfileBundle.cpp</w:t>
            </w:r>
          </w:p>
        </w:tc>
        <w:tc>
          <w:tcPr>
            <w:tcW w:type="dxa" w:w="1440"/>
            <w:vAlign w:val="top"/>
          </w:tcPr>
          <w:p>
            <w:pPr>
              <w:spacing w:after="20"/>
            </w:pPr>
            <w:r>
              <w:rPr>
                <w:sz w:val="14"/>
              </w:rPr>
              <w:t>Implementation / tool</w:t>
            </w:r>
          </w:p>
        </w:tc>
        <w:tc>
          <w:tcPr>
            <w:tcW w:type="dxa" w:w="6624"/>
            <w:vAlign w:val="top"/>
          </w:tcPr>
          <w:p>
            <w:pPr>
              <w:spacing w:after="20"/>
            </w:pPr>
            <w:r>
              <w:rPr>
                <w:sz w:val="14"/>
              </w:rPr>
              <w:t>AES-256-GCM profile storage and platform crypto adapters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src/EyeCropExtractor.cpp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extracts normalized eye ROI crops for audit/annotation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src/FaceDetector.cpp</w:t>
            </w:r>
          </w:p>
        </w:tc>
        <w:tc>
          <w:tcPr>
            <w:tcW w:type="dxa" w:w="1440"/>
            <w:vAlign w:val="top"/>
          </w:tcPr>
          <w:p>
            <w:pPr>
              <w:spacing w:after="20"/>
            </w:pPr>
            <w:r>
              <w:rPr>
                <w:sz w:val="14"/>
              </w:rPr>
              <w:t>Implementation / tool</w:t>
            </w:r>
          </w:p>
        </w:tc>
        <w:tc>
          <w:tcPr>
            <w:tcW w:type="dxa" w:w="6624"/>
            <w:vAlign w:val="top"/>
          </w:tcPr>
          <w:p>
            <w:pPr>
              <w:spacing w:after="20"/>
            </w:pPr>
            <w:r>
              <w:rPr>
                <w:sz w:val="14"/>
              </w:rPr>
              <w:t>OpenCV YuNet face detector wrapper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src/FaceMediaPipeRuntime.cpp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runtime loads the optional MediaPipe C ABI</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src/LbfEyeLandmarkMapper.cpp</w:t>
            </w:r>
          </w:p>
        </w:tc>
        <w:tc>
          <w:tcPr>
            <w:tcW w:type="dxa" w:w="1440"/>
            <w:vAlign w:val="top"/>
          </w:tcPr>
          <w:p>
            <w:pPr>
              <w:spacing w:after="20"/>
            </w:pPr>
            <w:r>
              <w:rPr>
                <w:sz w:val="14"/>
              </w:rPr>
              <w:t>Implementation / tool</w:t>
            </w:r>
          </w:p>
        </w:tc>
        <w:tc>
          <w:tcPr>
            <w:tcW w:type="dxa" w:w="6624"/>
            <w:vAlign w:val="top"/>
          </w:tcPr>
          <w:p>
            <w:pPr>
              <w:spacing w:after="20"/>
            </w:pPr>
            <w:r>
              <w:rPr>
                <w:sz w:val="14"/>
              </w:rPr>
              <w:t>maps OpenCV LBF 68-point eyes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src/LbfLandmarkDetector.cpp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OpenCV facemark LBF wrapper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src/MediaPipeBackend.cpp</w:t>
            </w:r>
          </w:p>
        </w:tc>
        <w:tc>
          <w:tcPr>
            <w:tcW w:type="dxa" w:w="1440"/>
            <w:vAlign w:val="top"/>
          </w:tcPr>
          <w:p>
            <w:pPr>
              <w:spacing w:after="20"/>
            </w:pPr>
            <w:r>
              <w:rPr>
                <w:sz w:val="14"/>
              </w:rPr>
              <w:t>Implementation / tool</w:t>
            </w:r>
          </w:p>
        </w:tc>
        <w:tc>
          <w:tcPr>
            <w:tcW w:type="dxa" w:w="6624"/>
            <w:vAlign w:val="top"/>
          </w:tcPr>
          <w:p>
            <w:pPr>
              <w:spacing w:after="20"/>
            </w:pPr>
            <w:r>
              <w:rPr>
                <w:sz w:val="14"/>
              </w:rPr>
              <w:t>FaceBackend implementation for runtime MediaPipe</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src/MediaPipeEyeLandmarkMapper.cpp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maps MediaPipe topology to semantic eyes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src/PfldEyeLandmarkMapper.cpp</w:t>
            </w:r>
          </w:p>
        </w:tc>
        <w:tc>
          <w:tcPr>
            <w:tcW w:type="dxa" w:w="1440"/>
            <w:vAlign w:val="top"/>
          </w:tcPr>
          <w:p>
            <w:pPr>
              <w:spacing w:after="20"/>
            </w:pPr>
            <w:r>
              <w:rPr>
                <w:sz w:val="14"/>
              </w:rPr>
              <w:t>Implementation / tool</w:t>
            </w:r>
          </w:p>
        </w:tc>
        <w:tc>
          <w:tcPr>
            <w:tcW w:type="dxa" w:w="6624"/>
            <w:vAlign w:val="top"/>
          </w:tcPr>
          <w:p>
            <w:pPr>
              <w:spacing w:after="20"/>
            </w:pPr>
            <w:r>
              <w:rPr>
                <w:sz w:val="14"/>
              </w:rPr>
              <w:t>maps PFLD topology to semantic eyes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src/PfldLandmarkProvider.cpp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OpenCV-DNN PFLD inference wrapper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src/ProcessingRoiAdapter.cpp</w:t>
            </w:r>
          </w:p>
        </w:tc>
        <w:tc>
          <w:tcPr>
            <w:tcW w:type="dxa" w:w="1440"/>
            <w:vAlign w:val="top"/>
          </w:tcPr>
          <w:p>
            <w:pPr>
              <w:spacing w:after="20"/>
            </w:pPr>
            <w:r>
              <w:rPr>
                <w:sz w:val="14"/>
              </w:rPr>
              <w:t>Implementation / tool</w:t>
            </w:r>
          </w:p>
        </w:tc>
        <w:tc>
          <w:tcPr>
            <w:tcW w:type="dxa" w:w="6624"/>
            <w:vAlign w:val="top"/>
          </w:tcPr>
          <w:p>
            <w:pPr>
              <w:spacing w:after="20"/>
            </w:pPr>
            <w:r>
              <w:rPr>
                <w:sz w:val="14"/>
              </w:rPr>
              <w:t>crops configured processing ROI and restores coordinates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src/RecordedFrameClock.cpp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monotonic source-frame timestamps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src/ResourceProfiler.cpp</w:t>
            </w:r>
          </w:p>
        </w:tc>
        <w:tc>
          <w:tcPr>
            <w:tcW w:type="dxa" w:w="1440"/>
            <w:vAlign w:val="top"/>
          </w:tcPr>
          <w:p>
            <w:pPr>
              <w:spacing w:after="20"/>
            </w:pPr>
            <w:r>
              <w:rPr>
                <w:sz w:val="14"/>
              </w:rPr>
              <w:t>Implementation / tool</w:t>
            </w:r>
          </w:p>
        </w:tc>
        <w:tc>
          <w:tcPr>
            <w:tcW w:type="dxa" w:w="6624"/>
            <w:vAlign w:val="top"/>
          </w:tcPr>
          <w:p>
            <w:pPr>
              <w:spacing w:after="20"/>
            </w:pPr>
            <w:r>
              <w:rPr>
                <w:sz w:val="14"/>
              </w:rPr>
              <w:t>periodic process/core/RSS/thread/phase profiler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src/YuNetLbfBackend.cpp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real-time YuNet plus LBF backend</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src/YuNetPfldBackend.cpp</w:t>
            </w:r>
          </w:p>
        </w:tc>
        <w:tc>
          <w:tcPr>
            <w:tcW w:type="dxa" w:w="1440"/>
            <w:vAlign w:val="top"/>
          </w:tcPr>
          <w:p>
            <w:pPr>
              <w:spacing w:after="20"/>
            </w:pPr>
            <w:r>
              <w:rPr>
                <w:sz w:val="14"/>
              </w:rPr>
              <w:t>Implementation / tool</w:t>
            </w:r>
          </w:p>
        </w:tc>
        <w:tc>
          <w:tcPr>
            <w:tcW w:type="dxa" w:w="6624"/>
            <w:vAlign w:val="top"/>
          </w:tcPr>
          <w:p>
            <w:pPr>
              <w:spacing w:after="20"/>
            </w:pPr>
            <w:r>
              <w:rPr>
                <w:sz w:val="14"/>
              </w:rPr>
              <w:t>candidate YuNet plus PFLD backend</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src/benchmark_main.cpp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deterministic benchmark, trace, statistics and resource evidence driver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src/driver_profile_admin.cpp</w:t>
            </w:r>
          </w:p>
        </w:tc>
        <w:tc>
          <w:tcPr>
            <w:tcW w:type="dxa" w:w="1440"/>
            <w:vAlign w:val="top"/>
          </w:tcPr>
          <w:p>
            <w:pPr>
              <w:spacing w:after="20"/>
            </w:pPr>
            <w:r>
              <w:rPr>
                <w:sz w:val="14"/>
              </w:rPr>
              <w:t>Implementation / tool</w:t>
            </w:r>
          </w:p>
        </w:tc>
        <w:tc>
          <w:tcPr>
            <w:tcW w:type="dxa" w:w="6624"/>
            <w:vAlign w:val="top"/>
          </w:tcPr>
          <w:p>
            <w:pPr>
              <w:spacing w:after="20"/>
            </w:pPr>
            <w:r>
              <w:rPr>
                <w:sz w:val="14"/>
              </w:rPr>
              <w:t>offline encrypted profile administration CLI</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src/main.cpp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interactive camera/video demo and overlay integration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src/pad_baseline.cpp</w:t>
            </w:r>
          </w:p>
        </w:tc>
        <w:tc>
          <w:tcPr>
            <w:tcW w:type="dxa" w:w="1440"/>
            <w:vAlign w:val="top"/>
          </w:tcPr>
          <w:p>
            <w:pPr>
              <w:spacing w:after="20"/>
            </w:pPr>
            <w:r>
              <w:rPr>
                <w:sz w:val="14"/>
              </w:rPr>
              <w:t>Implementation / tool</w:t>
            </w:r>
          </w:p>
        </w:tc>
        <w:tc>
          <w:tcPr>
            <w:tcW w:type="dxa" w:w="6624"/>
            <w:vAlign w:val="top"/>
          </w:tcPr>
          <w:p>
            <w:pPr>
              <w:spacing w:after="20"/>
            </w:pPr>
            <w:r>
              <w:rPr>
                <w:sz w:val="14"/>
              </w:rPr>
              <w:t>anti-spoof model diagnostic baseline CLI</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src/recognition_baseline.cpp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SFace public-fixture recognition baseline CLI</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src/sponsor_selftest.cpp</w:t>
            </w:r>
          </w:p>
        </w:tc>
        <w:tc>
          <w:tcPr>
            <w:tcW w:type="dxa" w:w="1440"/>
            <w:vAlign w:val="top"/>
          </w:tcPr>
          <w:p>
            <w:pPr>
              <w:spacing w:after="20"/>
            </w:pPr>
            <w:r>
              <w:rPr>
                <w:sz w:val="14"/>
              </w:rPr>
              <w:t>Test</w:t>
            </w:r>
          </w:p>
        </w:tc>
        <w:tc>
          <w:tcPr>
            <w:tcW w:type="dxa" w:w="6624"/>
            <w:vAlign w:val="top"/>
          </w:tcPr>
          <w:p>
            <w:pPr>
              <w:spacing w:after="20"/>
            </w:pPr>
            <w:r>
              <w:rPr>
                <w:sz w:val="14"/>
              </w:rPr>
              <w:t>packaged deterministic sponsor self-test executable</w:t>
            </w:r>
          </w:p>
        </w:tc>
        <w:tc>
          <w:tcPr>
            <w:tcW w:type="dxa" w:w="3168"/>
            <w:vAlign w:val="top"/>
          </w:tcPr>
          <w:p>
            <w:pPr>
              <w:spacing w:after="20"/>
            </w:pPr>
            <w:r>
              <w:rPr>
                <w:sz w:val="14"/>
              </w:rPr>
              <w:t>Keep behavior deterministic and update evidence for changed claims.</w:t>
            </w:r>
          </w:p>
        </w:tc>
      </w:tr>
    </w:tbl>
    <w:p>
      <w:r>
        <w:br w:type="page"/>
      </w:r>
    </w:p>
    <w:p>
      <w:pPr>
        <w:pStyle w:val="Heading1"/>
      </w:pPr>
      <w:r>
        <w:t>Optional MediaPipe bridge — mediapipe/</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mediapipe/BUILD.bazel</w:t>
            </w:r>
          </w:p>
        </w:tc>
        <w:tc>
          <w:tcPr>
            <w:tcW w:type="dxa" w:w="1440"/>
            <w:vAlign w:val="top"/>
          </w:tcPr>
          <w:p>
            <w:pPr>
              <w:spacing w:after="20"/>
            </w:pPr>
            <w:r>
              <w:rPr>
                <w:sz w:val="14"/>
              </w:rPr>
              <w:t>Implementation / tool</w:t>
            </w:r>
          </w:p>
        </w:tc>
        <w:tc>
          <w:tcPr>
            <w:tcW w:type="dxa" w:w="6624"/>
            <w:vAlign w:val="top"/>
          </w:tcPr>
          <w:p>
            <w:pPr>
              <w:spacing w:after="20"/>
            </w:pPr>
            <w:r>
              <w:rPr>
                <w:sz w:val="14"/>
              </w:rPr>
              <w:t>Bazel bridge build graph</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mediapipe/FaceLandmarkerModel.cmake</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task-model filename and checksum pin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mediapipe/MEDIAPIPE_VERSION</w:t>
            </w:r>
          </w:p>
        </w:tc>
        <w:tc>
          <w:tcPr>
            <w:tcW w:type="dxa" w:w="1440"/>
            <w:vAlign w:val="top"/>
          </w:tcPr>
          <w:p>
            <w:pPr>
              <w:spacing w:after="20"/>
            </w:pPr>
            <w:r>
              <w:rPr>
                <w:sz w:val="14"/>
              </w:rPr>
              <w:t>Implementation / tool</w:t>
            </w:r>
          </w:p>
        </w:tc>
        <w:tc>
          <w:tcPr>
            <w:tcW w:type="dxa" w:w="6624"/>
            <w:vAlign w:val="top"/>
          </w:tcPr>
          <w:p>
            <w:pPr>
              <w:spacing w:after="20"/>
            </w:pPr>
            <w:r>
              <w:rPr>
                <w:sz w:val="14"/>
              </w:rPr>
              <w:t>pinned MediaPipe tag and commit</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mediapipe/api/FaceMediaPipe.h</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MediaPipe Face Landmarker C ABI implementation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mediapipe/src/BgrToRgb.cpp</w:t>
            </w:r>
          </w:p>
        </w:tc>
        <w:tc>
          <w:tcPr>
            <w:tcW w:type="dxa" w:w="1440"/>
            <w:vAlign w:val="top"/>
          </w:tcPr>
          <w:p>
            <w:pPr>
              <w:spacing w:after="20"/>
            </w:pPr>
            <w:r>
              <w:rPr>
                <w:sz w:val="14"/>
              </w:rPr>
              <w:t>Implementation / tool</w:t>
            </w:r>
          </w:p>
        </w:tc>
        <w:tc>
          <w:tcPr>
            <w:tcW w:type="dxa" w:w="6624"/>
            <w:vAlign w:val="top"/>
          </w:tcPr>
          <w:p>
            <w:pPr>
              <w:spacing w:after="20"/>
            </w:pPr>
            <w:r>
              <w:rPr>
                <w:sz w:val="14"/>
              </w:rPr>
              <w:t>bridge pixel-format conversion</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mediapipe/src/BgrToRgb.h</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bridge pixel-format conversion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mediapipe/src/FaceMediaPipe.cpp</w:t>
            </w:r>
          </w:p>
        </w:tc>
        <w:tc>
          <w:tcPr>
            <w:tcW w:type="dxa" w:w="1440"/>
            <w:vAlign w:val="top"/>
          </w:tcPr>
          <w:p>
            <w:pPr>
              <w:spacing w:after="20"/>
            </w:pPr>
            <w:r>
              <w:rPr>
                <w:sz w:val="14"/>
              </w:rPr>
              <w:t>Implementation / tool</w:t>
            </w:r>
          </w:p>
        </w:tc>
        <w:tc>
          <w:tcPr>
            <w:tcW w:type="dxa" w:w="6624"/>
            <w:vAlign w:val="top"/>
          </w:tcPr>
          <w:p>
            <w:pPr>
              <w:spacing w:after="20"/>
            </w:pPr>
            <w:r>
              <w:rPr>
                <w:sz w:val="14"/>
              </w:rPr>
              <w:t>MediaPipe Face Landmarker C ABI implementation</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mediapipe/src/LandmarkConversion.cpp</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converts MediaPipe landmark results to stable C records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mediapipe/src/LandmarkConversion.h</w:t>
            </w:r>
          </w:p>
        </w:tc>
        <w:tc>
          <w:tcPr>
            <w:tcW w:type="dxa" w:w="1440"/>
            <w:vAlign w:val="top"/>
          </w:tcPr>
          <w:p>
            <w:pPr>
              <w:spacing w:after="20"/>
            </w:pPr>
            <w:r>
              <w:rPr>
                <w:sz w:val="14"/>
              </w:rPr>
              <w:t>Contract</w:t>
            </w:r>
          </w:p>
        </w:tc>
        <w:tc>
          <w:tcPr>
            <w:tcW w:type="dxa" w:w="6624"/>
            <w:vAlign w:val="top"/>
          </w:tcPr>
          <w:p>
            <w:pPr>
              <w:spacing w:after="20"/>
            </w:pPr>
            <w:r>
              <w:rPr>
                <w:sz w:val="14"/>
              </w:rPr>
              <w:t>converts MediaPipe landmark results to stable C records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mediapipe/src/MonotonicTimestamp.h</w:t>
            </w:r>
          </w:p>
        </w:tc>
        <w:tc>
          <w:tcPr>
            <w:tcW w:type="dxa" w:w="1440"/>
            <w:vAlign w:val="top"/>
            <w:shd w:fill="F3F6FA"/>
          </w:tcPr>
          <w:p>
            <w:pPr>
              <w:spacing w:after="20"/>
            </w:pPr>
            <w:r>
              <w:rPr>
                <w:sz w:val="14"/>
              </w:rPr>
              <w:t>Contract</w:t>
            </w:r>
          </w:p>
        </w:tc>
        <w:tc>
          <w:tcPr>
            <w:tcW w:type="dxa" w:w="6624"/>
            <w:vAlign w:val="top"/>
            <w:shd w:fill="F3F6FA"/>
          </w:tcPr>
          <w:p>
            <w:pPr>
              <w:spacing w:after="20"/>
            </w:pPr>
            <w:r>
              <w:rPr>
                <w:sz w:val="14"/>
              </w:rPr>
              <w:t>strict timestamp monotonicity helper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mediapipe/tests/monotonic_timestamp_test.cpp</w:t>
            </w:r>
          </w:p>
        </w:tc>
        <w:tc>
          <w:tcPr>
            <w:tcW w:type="dxa" w:w="1440"/>
            <w:vAlign w:val="top"/>
          </w:tcPr>
          <w:p>
            <w:pPr>
              <w:spacing w:after="20"/>
            </w:pPr>
            <w:r>
              <w:rPr>
                <w:sz w:val="14"/>
              </w:rPr>
              <w:t>Test</w:t>
            </w:r>
          </w:p>
        </w:tc>
        <w:tc>
          <w:tcPr>
            <w:tcW w:type="dxa" w:w="6624"/>
            <w:vAlign w:val="top"/>
          </w:tcPr>
          <w:p>
            <w:pPr>
              <w:spacing w:after="20"/>
            </w:pPr>
            <w:r>
              <w:rPr>
                <w:sz w:val="14"/>
              </w:rPr>
              <w:t>MediaPipe bridge build or test support</w:t>
            </w:r>
          </w:p>
        </w:tc>
        <w:tc>
          <w:tcPr>
            <w:tcW w:type="dxa" w:w="3168"/>
            <w:vAlign w:val="top"/>
          </w:tcPr>
          <w:p>
            <w:pPr>
              <w:spacing w:after="20"/>
            </w:pPr>
            <w:r>
              <w:rPr>
                <w:sz w:val="14"/>
              </w:rPr>
              <w:t>Keep behavior deterministic and update evidence for changed claims.</w:t>
            </w:r>
          </w:p>
        </w:tc>
      </w:tr>
    </w:tbl>
    <w:p>
      <w:r>
        <w:br w:type="page"/>
      </w:r>
    </w:p>
    <w:p>
      <w:pPr>
        <w:pStyle w:val="Heading1"/>
      </w:pPr>
      <w:r>
        <w:t>Regression and integration tests — tests/</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tests/backend_face_geometry_mapper_test.cpp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backend face geometry mapper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tests/backend_gaze_mapper_test.cpp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backend gaze mapper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tests/backend_options_test.cpp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backend options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tests/benchmark_options_test.cpp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benchmark options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tests/bgr_to_rgb_test.cpp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bgr to rgb</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tests/blink_tracker_test.cpp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blink tracker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tests/display_aoi_adapter_test.cpp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display aoi adapter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tests/dms_core_test.cpp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dms core</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tests/dms_eye_metrics_test.cpp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dms eye metrics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tests/dms_eye_quality_assessor_test.cpp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dms eye quality assessor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tests/dms_eye_statistics_test.cpp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dms eye statistics</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tests/dms_head_pose_estimator_test.cpp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dms head pose estimator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tests/dms_policy_test.cpp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dms policy</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tests/dms_presentation_config_loader_test.cpp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dms presentation config loader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tests/dms_presentation_config_test.cpp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dms presentation config</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tests/dms_temporal_events_test.cpp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dms temporal events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tests/driver_identity_matcher_test.cpp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driver identity matcher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tests/driver_profile_database_test.cpp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driver profile database</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tests/eye_crop_extractor_test.cpp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eye crop extractor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tests/face_backend_integration_test.cpp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face backend integration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tests/face_mediapipe_mock.cpp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face mediapipe mock</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tests/face_mediapipe_runtime_probe.cpp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face mediapipe runtime probe</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tests/face_mediapipe_runtime_test.cpp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face mediapipe runtime</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tests/landmark_conversion_test.cpp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landmark conversion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tests/lbf_eye_landmark_mapper_test.cpp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lbf eye landmark mapper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tests/legacy_blink_integration_test.cpp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legacy blink integration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tests/mediapipe_eye_landmark_mapper_test.cpp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mediapipe eye landmark mapper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tests/mediapipe_smoke.cpp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mediapipe smoke</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tests/pfld_eye_landmark_mapper_test.cpp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pfld eye landmark mapper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tests/pfld_landmark_provider_test.cpp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pfld landmark provider</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tests/processing_roi_adapter_test.cpp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processing roi adapter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tests/recorded_frame_clock_test.cpp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recorded frame clock</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tests/resource_profiler_test.cpp</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resource profiler</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tests/score_dense_eye_roi_labels_test.ps1</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score dense eye roi labels</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tests/stage20_recording_batch_test.ps1</w:t>
            </w:r>
          </w:p>
        </w:tc>
        <w:tc>
          <w:tcPr>
            <w:tcW w:type="dxa" w:w="1440"/>
            <w:vAlign w:val="top"/>
          </w:tcPr>
          <w:p>
            <w:pPr>
              <w:spacing w:after="20"/>
            </w:pPr>
            <w:r>
              <w:rPr>
                <w:sz w:val="14"/>
              </w:rPr>
              <w:t>Test</w:t>
            </w:r>
          </w:p>
        </w:tc>
        <w:tc>
          <w:tcPr>
            <w:tcW w:type="dxa" w:w="6624"/>
            <w:vAlign w:val="top"/>
          </w:tcPr>
          <w:p>
            <w:pPr>
              <w:spacing w:after="20"/>
            </w:pPr>
            <w:r>
              <w:rPr>
                <w:sz w:val="14"/>
              </w:rPr>
              <w:t>deterministic regression coverage for stage20 recording batch</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tests/stage24_recorded_sequence_test.cpp</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deterministic regression coverage for stage24 recorded sequence</w:t>
            </w:r>
          </w:p>
        </w:tc>
        <w:tc>
          <w:tcPr>
            <w:tcW w:type="dxa" w:w="3168"/>
            <w:vAlign w:val="top"/>
            <w:shd w:fill="F3F6FA"/>
          </w:tcPr>
          <w:p>
            <w:pPr>
              <w:spacing w:after="20"/>
            </w:pPr>
            <w:r>
              <w:rPr>
                <w:sz w:val="14"/>
              </w:rPr>
              <w:t>Keep behavior deterministic and update evidence for changed claims.</w:t>
            </w:r>
          </w:p>
        </w:tc>
      </w:tr>
    </w:tbl>
    <w:p>
      <w:r>
        <w:br w:type="page"/>
      </w:r>
    </w:p>
    <w:p>
      <w:pPr>
        <w:pStyle w:val="Heading1"/>
      </w:pPr>
      <w:r>
        <w:t>Automation — scripts/</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scripts/aggregate_stage20_scores.ps1</w:t>
            </w:r>
          </w:p>
        </w:tc>
        <w:tc>
          <w:tcPr>
            <w:tcW w:type="dxa" w:w="1440"/>
            <w:vAlign w:val="top"/>
          </w:tcPr>
          <w:p>
            <w:pPr>
              <w:spacing w:after="20"/>
            </w:pPr>
            <w:r>
              <w:rPr>
                <w:sz w:val="14"/>
              </w:rPr>
              <w:t>Implementation / tool</w:t>
            </w:r>
          </w:p>
        </w:tc>
        <w:tc>
          <w:tcPr>
            <w:tcW w:type="dxa" w:w="6624"/>
            <w:vAlign w:val="top"/>
          </w:tcPr>
          <w:p>
            <w:pPr>
              <w:spacing w:after="20"/>
            </w:pPr>
            <w:r>
              <w:rPr>
                <w:sz w:val="14"/>
              </w:rPr>
              <w:t>offline evaluation/reporting workflow (aggregate stage20 scores)</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scripts/analyze_stage20_traces.ps1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offline evaluation/reporting workflow (analyze stage20 traces)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scripts/audit_eye_roi_crops.py</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audit eye roi crops</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scripts/build_mediapipe.ps1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MediaPipe acquisition/build/patch workflow (build mediapipe)</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scripts/build_mediapipe.sh</w:t>
            </w:r>
          </w:p>
        </w:tc>
        <w:tc>
          <w:tcPr>
            <w:tcW w:type="dxa" w:w="1440"/>
            <w:vAlign w:val="top"/>
          </w:tcPr>
          <w:p>
            <w:pPr>
              <w:spacing w:after="20"/>
            </w:pPr>
            <w:r>
              <w:rPr>
                <w:sz w:val="14"/>
              </w:rPr>
              <w:t>Implementation / tool</w:t>
            </w:r>
          </w:p>
        </w:tc>
        <w:tc>
          <w:tcPr>
            <w:tcW w:type="dxa" w:w="6624"/>
            <w:vAlign w:val="top"/>
          </w:tcPr>
          <w:p>
            <w:pPr>
              <w:spacing w:after="20"/>
            </w:pPr>
            <w:r>
              <w:rPr>
                <w:sz w:val="14"/>
              </w:rPr>
              <w:t>MediaPipe acquisition/build/patch workflow (build mediapipe)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scripts/collect_performance_metadata.ps1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development automation for collect performance metadata</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scripts/collect_performance_metadata.sh</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collect performance metadata</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scripts/extract_stage20_predictions.ps1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development automation for extract stage20 predictions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scripts/fetch_mediapipe.ps1</w:t>
            </w:r>
          </w:p>
        </w:tc>
        <w:tc>
          <w:tcPr>
            <w:tcW w:type="dxa" w:w="1440"/>
            <w:vAlign w:val="top"/>
          </w:tcPr>
          <w:p>
            <w:pPr>
              <w:spacing w:after="20"/>
            </w:pPr>
            <w:r>
              <w:rPr>
                <w:sz w:val="14"/>
              </w:rPr>
              <w:t>Implementation / tool</w:t>
            </w:r>
          </w:p>
        </w:tc>
        <w:tc>
          <w:tcPr>
            <w:tcW w:type="dxa" w:w="6624"/>
            <w:vAlign w:val="top"/>
          </w:tcPr>
          <w:p>
            <w:pPr>
              <w:spacing w:after="20"/>
            </w:pPr>
            <w:r>
              <w:rPr>
                <w:sz w:val="14"/>
              </w:rPr>
              <w:t>MediaPipe acquisition/build/patch workflow (fetch mediapipe)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scripts/fetch_mediapipe.sh</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MediaPipe acquisition/build/patch workflow (fetch mediapipe)</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scripts/freeze_stage20_recording_batch.ps1</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freeze stage20 recording batch</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scripts/generate_source_sbom.ps1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development automation for generate source sbom</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scripts/initialize_stage20_recording_batch.ps1</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initialize stage20 recording batch</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scripts/package_application.ps1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builds a target package and records its payload manifest (package application)</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scripts/package_application.sh</w:t>
            </w:r>
          </w:p>
        </w:tc>
        <w:tc>
          <w:tcPr>
            <w:tcW w:type="dxa" w:w="1440"/>
            <w:vAlign w:val="top"/>
          </w:tcPr>
          <w:p>
            <w:pPr>
              <w:spacing w:after="20"/>
            </w:pPr>
            <w:r>
              <w:rPr>
                <w:sz w:val="14"/>
              </w:rPr>
              <w:t>Implementation / tool</w:t>
            </w:r>
          </w:p>
        </w:tc>
        <w:tc>
          <w:tcPr>
            <w:tcW w:type="dxa" w:w="6624"/>
            <w:vAlign w:val="top"/>
          </w:tcPr>
          <w:p>
            <w:pPr>
              <w:spacing w:after="20"/>
            </w:pPr>
            <w:r>
              <w:rPr>
                <w:sz w:val="14"/>
              </w:rPr>
              <w:t>builds a target package and records its payload manifest (package application)</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scripts/package_mediapipe.ps1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builds a target package and records its payload manifest (package mediapipe)</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scripts/package_mediapipe.sh</w:t>
            </w:r>
          </w:p>
        </w:tc>
        <w:tc>
          <w:tcPr>
            <w:tcW w:type="dxa" w:w="1440"/>
            <w:vAlign w:val="top"/>
          </w:tcPr>
          <w:p>
            <w:pPr>
              <w:spacing w:after="20"/>
            </w:pPr>
            <w:r>
              <w:rPr>
                <w:sz w:val="14"/>
              </w:rPr>
              <w:t>Implementation / tool</w:t>
            </w:r>
          </w:p>
        </w:tc>
        <w:tc>
          <w:tcPr>
            <w:tcW w:type="dxa" w:w="6624"/>
            <w:vAlign w:val="top"/>
          </w:tcPr>
          <w:p>
            <w:pPr>
              <w:spacing w:after="20"/>
            </w:pPr>
            <w:r>
              <w:rPr>
                <w:sz w:val="14"/>
              </w:rPr>
              <w:t>builds a target package and records its payload manifest (package mediapipe)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scripts/patch_mediapipe_windows_api3.ps1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MediaPipe acquisition/build/patch workflow (patch mediapipe windows api3)</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scripts/prepare_eye_roi_annotation_batches.py</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prepare eye roi annotation batches</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scripts/run_deployed_face.ps1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development automation for run deployed face</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scripts/run_deployed_face.sh</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run deployed face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scripts/run_mediapipe_smoke.ps1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MediaPipe acquisition/build/patch workflow (run mediapipe smoke)</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scripts/run_mediapipe_smoke.sh</w:t>
            </w:r>
          </w:p>
        </w:tc>
        <w:tc>
          <w:tcPr>
            <w:tcW w:type="dxa" w:w="1440"/>
            <w:vAlign w:val="top"/>
          </w:tcPr>
          <w:p>
            <w:pPr>
              <w:spacing w:after="20"/>
            </w:pPr>
            <w:r>
              <w:rPr>
                <w:sz w:val="14"/>
              </w:rPr>
              <w:t>Implementation / tool</w:t>
            </w:r>
          </w:p>
        </w:tc>
        <w:tc>
          <w:tcPr>
            <w:tcW w:type="dxa" w:w="6624"/>
            <w:vAlign w:val="top"/>
          </w:tcPr>
          <w:p>
            <w:pPr>
              <w:spacing w:after="20"/>
            </w:pPr>
            <w:r>
              <w:rPr>
                <w:sz w:val="14"/>
              </w:rPr>
              <w:t>MediaPipe acquisition/build/patch workflow (run mediapipe smoke)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scripts/run_sponsor_selftest.ps1</w:t>
            </w:r>
          </w:p>
        </w:tc>
        <w:tc>
          <w:tcPr>
            <w:tcW w:type="dxa" w:w="1440"/>
            <w:vAlign w:val="top"/>
            <w:shd w:fill="F3F6FA"/>
          </w:tcPr>
          <w:p>
            <w:pPr>
              <w:spacing w:after="20"/>
            </w:pPr>
            <w:r>
              <w:rPr>
                <w:sz w:val="14"/>
              </w:rPr>
              <w:t>Test</w:t>
            </w:r>
          </w:p>
        </w:tc>
        <w:tc>
          <w:tcPr>
            <w:tcW w:type="dxa" w:w="6624"/>
            <w:vAlign w:val="top"/>
            <w:shd w:fill="F3F6FA"/>
          </w:tcPr>
          <w:p>
            <w:pPr>
              <w:spacing w:after="20"/>
            </w:pPr>
            <w:r>
              <w:rPr>
                <w:sz w:val="14"/>
              </w:rPr>
              <w:t>development automation for run sponsor selftest</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scripts/run_sponsor_selftest.sh</w:t>
            </w:r>
          </w:p>
        </w:tc>
        <w:tc>
          <w:tcPr>
            <w:tcW w:type="dxa" w:w="1440"/>
            <w:vAlign w:val="top"/>
          </w:tcPr>
          <w:p>
            <w:pPr>
              <w:spacing w:after="20"/>
            </w:pPr>
            <w:r>
              <w:rPr>
                <w:sz w:val="14"/>
              </w:rPr>
              <w:t>Test</w:t>
            </w:r>
          </w:p>
        </w:tc>
        <w:tc>
          <w:tcPr>
            <w:tcW w:type="dxa" w:w="6624"/>
            <w:vAlign w:val="top"/>
          </w:tcPr>
          <w:p>
            <w:pPr>
              <w:spacing w:after="20"/>
            </w:pPr>
            <w:r>
              <w:rPr>
                <w:sz w:val="14"/>
              </w:rPr>
              <w:t>development automation for run sponsor selftest</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scripts/run_sponsor_video_demo.ps1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development automation for run sponsor video demo</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scripts/run_sponsor_video_demo.sh</w:t>
            </w:r>
          </w:p>
        </w:tc>
        <w:tc>
          <w:tcPr>
            <w:tcW w:type="dxa" w:w="1440"/>
            <w:vAlign w:val="top"/>
          </w:tcPr>
          <w:p>
            <w:pPr>
              <w:spacing w:after="20"/>
            </w:pPr>
            <w:r>
              <w:rPr>
                <w:sz w:val="14"/>
              </w:rPr>
              <w:t>Implementation / tool</w:t>
            </w:r>
          </w:p>
        </w:tc>
        <w:tc>
          <w:tcPr>
            <w:tcW w:type="dxa" w:w="6624"/>
            <w:vAlign w:val="top"/>
          </w:tcPr>
          <w:p>
            <w:pPr>
              <w:spacing w:after="20"/>
            </w:pPr>
            <w:r>
              <w:rPr>
                <w:sz w:val="14"/>
              </w:rPr>
              <w:t>development automation for run sponsor video demo</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scripts/score_dense_eye_roi_labels.ps1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offline evaluation/reporting workflow (score dense eye roi labels)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scripts/score_stage20_agreement.ps1</w:t>
            </w:r>
          </w:p>
        </w:tc>
        <w:tc>
          <w:tcPr>
            <w:tcW w:type="dxa" w:w="1440"/>
            <w:vAlign w:val="top"/>
          </w:tcPr>
          <w:p>
            <w:pPr>
              <w:spacing w:after="20"/>
            </w:pPr>
            <w:r>
              <w:rPr>
                <w:sz w:val="14"/>
              </w:rPr>
              <w:t>Implementation / tool</w:t>
            </w:r>
          </w:p>
        </w:tc>
        <w:tc>
          <w:tcPr>
            <w:tcW w:type="dxa" w:w="6624"/>
            <w:vAlign w:val="top"/>
          </w:tcPr>
          <w:p>
            <w:pPr>
              <w:spacing w:after="20"/>
            </w:pPr>
            <w:r>
              <w:rPr>
                <w:sz w:val="14"/>
              </w:rPr>
              <w:t>offline evaluation/reporting workflow (score stage20 agreement)</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scripts/score_stage20_annotations.ps1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offline evaluation/reporting workflow (score stage20 annotations)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scripts/score_stage20_states.ps1</w:t>
            </w:r>
          </w:p>
        </w:tc>
        <w:tc>
          <w:tcPr>
            <w:tcW w:type="dxa" w:w="1440"/>
            <w:vAlign w:val="top"/>
          </w:tcPr>
          <w:p>
            <w:pPr>
              <w:spacing w:after="20"/>
            </w:pPr>
            <w:r>
              <w:rPr>
                <w:sz w:val="14"/>
              </w:rPr>
              <w:t>Implementation / tool</w:t>
            </w:r>
          </w:p>
        </w:tc>
        <w:tc>
          <w:tcPr>
            <w:tcW w:type="dxa" w:w="6624"/>
            <w:vAlign w:val="top"/>
          </w:tcPr>
          <w:p>
            <w:pPr>
              <w:spacing w:after="20"/>
            </w:pPr>
            <w:r>
              <w:rPr>
                <w:sz w:val="14"/>
              </w:rPr>
              <w:t>offline evaluation/reporting workflow (score stage20 states)</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scripts/summarize_stage20_event_scores.ps1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offline evaluation/reporting workflow (summarize stage20 event scores)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scripts/validate_eye_roi_labels.py</w:t>
            </w:r>
          </w:p>
        </w:tc>
        <w:tc>
          <w:tcPr>
            <w:tcW w:type="dxa" w:w="1440"/>
            <w:vAlign w:val="top"/>
          </w:tcPr>
          <w:p>
            <w:pPr>
              <w:spacing w:after="20"/>
            </w:pPr>
            <w:r>
              <w:rPr>
                <w:sz w:val="14"/>
              </w:rPr>
              <w:t>Implementation / tool</w:t>
            </w:r>
          </w:p>
        </w:tc>
        <w:tc>
          <w:tcPr>
            <w:tcW w:type="dxa" w:w="6624"/>
            <w:vAlign w:val="top"/>
          </w:tcPr>
          <w:p>
            <w:pPr>
              <w:spacing w:after="20"/>
            </w:pPr>
            <w:r>
              <w:rPr>
                <w:sz w:val="14"/>
              </w:rPr>
              <w:t>fail-fast validation workflow (validate eye roi labels)</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scripts/validate_stage20_annotations.ps1</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fail-fast validation workflow (validate stage20 annotations)</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scripts/verify_mediapipe_dependency.ps1</w:t>
            </w:r>
          </w:p>
        </w:tc>
        <w:tc>
          <w:tcPr>
            <w:tcW w:type="dxa" w:w="1440"/>
            <w:vAlign w:val="top"/>
          </w:tcPr>
          <w:p>
            <w:pPr>
              <w:spacing w:after="20"/>
            </w:pPr>
            <w:r>
              <w:rPr>
                <w:sz w:val="14"/>
              </w:rPr>
              <w:t>Implementation / tool</w:t>
            </w:r>
          </w:p>
        </w:tc>
        <w:tc>
          <w:tcPr>
            <w:tcW w:type="dxa" w:w="6624"/>
            <w:vAlign w:val="top"/>
          </w:tcPr>
          <w:p>
            <w:pPr>
              <w:spacing w:after="20"/>
            </w:pPr>
            <w:r>
              <w:rPr>
                <w:sz w:val="14"/>
              </w:rPr>
              <w:t>fail-fast validation workflow (verify mediapipe dependency)</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scripts/verify_mediapipe_dependency.sh</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fail-fast validation workflow (verify mediapipe dependency)</w:t>
            </w:r>
          </w:p>
        </w:tc>
        <w:tc>
          <w:tcPr>
            <w:tcW w:type="dxa" w:w="3168"/>
            <w:vAlign w:val="top"/>
            <w:shd w:fill="F3F6FA"/>
          </w:tcPr>
          <w:p>
            <w:pPr>
              <w:spacing w:after="20"/>
            </w:pPr>
            <w:r>
              <w:rPr>
                <w:sz w:val="14"/>
              </w:rPr>
              <w:t>Private inputs and generated outputs stay outside Git.</w:t>
            </w:r>
          </w:p>
        </w:tc>
      </w:tr>
      <w:tr>
        <w:tc>
          <w:tcPr>
            <w:tcW w:type="dxa" w:w="3312"/>
            <w:vAlign w:val="top"/>
          </w:tcPr>
          <w:p>
            <w:pPr>
              <w:spacing w:after="20"/>
            </w:pPr>
            <w:r>
              <w:rPr>
                <w:sz w:val="14"/>
              </w:rPr>
              <w:t>scripts/verify_sponsor_package.ps1</w:t>
            </w:r>
          </w:p>
        </w:tc>
        <w:tc>
          <w:tcPr>
            <w:tcW w:type="dxa" w:w="1440"/>
            <w:vAlign w:val="top"/>
          </w:tcPr>
          <w:p>
            <w:pPr>
              <w:spacing w:after="20"/>
            </w:pPr>
            <w:r>
              <w:rPr>
                <w:sz w:val="14"/>
              </w:rPr>
              <w:t>Implementation / tool</w:t>
            </w:r>
          </w:p>
        </w:tc>
        <w:tc>
          <w:tcPr>
            <w:tcW w:type="dxa" w:w="6624"/>
            <w:vAlign w:val="top"/>
          </w:tcPr>
          <w:p>
            <w:pPr>
              <w:spacing w:after="20"/>
            </w:pPr>
            <w:r>
              <w:rPr>
                <w:sz w:val="14"/>
              </w:rPr>
              <w:t>builds a target package and records its payload manifest (verify sponsor package)</w:t>
            </w:r>
          </w:p>
        </w:tc>
        <w:tc>
          <w:tcPr>
            <w:tcW w:type="dxa" w:w="3168"/>
            <w:vAlign w:val="top"/>
          </w:tcPr>
          <w:p>
            <w:pPr>
              <w:spacing w:after="20"/>
            </w:pPr>
            <w:r>
              <w:rPr>
                <w:sz w:val="14"/>
              </w:rPr>
              <w:t>Private inputs and generated outputs stay outside Git.</w:t>
            </w:r>
          </w:p>
        </w:tc>
      </w:tr>
      <w:tr>
        <w:tc>
          <w:tcPr>
            <w:tcW w:type="dxa" w:w="3312"/>
            <w:vAlign w:val="top"/>
            <w:shd w:fill="F3F6FA"/>
          </w:tcPr>
          <w:p>
            <w:pPr>
              <w:spacing w:after="20"/>
            </w:pPr>
            <w:r>
              <w:rPr>
                <w:sz w:val="14"/>
              </w:rPr>
              <w:t>scripts/verify_sponsor_package.sh</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builds a target package and records its payload manifest (verify sponsor package)</w:t>
            </w:r>
          </w:p>
        </w:tc>
        <w:tc>
          <w:tcPr>
            <w:tcW w:type="dxa" w:w="3168"/>
            <w:vAlign w:val="top"/>
            <w:shd w:fill="F3F6FA"/>
          </w:tcPr>
          <w:p>
            <w:pPr>
              <w:spacing w:after="20"/>
            </w:pPr>
            <w:r>
              <w:rPr>
                <w:sz w:val="14"/>
              </w:rPr>
              <w:t>Private inputs and generated outputs stay outside Git.</w:t>
            </w:r>
          </w:p>
        </w:tc>
      </w:tr>
    </w:tbl>
    <w:p>
      <w:r>
        <w:br w:type="page"/>
      </w:r>
    </w:p>
    <w:p>
      <w:pPr>
        <w:pStyle w:val="Heading1"/>
      </w:pPr>
      <w:r>
        <w:t>Runtime configuration and build entry points</w:t>
      </w:r>
    </w:p>
    <w:tbl>
      <w:tblPr>
        <w:tblStyle w:val="TableGrid"/>
        <w:tblW w:type="auto" w:w="0"/>
        <w:jc w:val="center"/>
        <w:tblLook w:firstColumn="1" w:firstRow="1" w:lastColumn="0" w:lastRow="0" w:noHBand="0" w:noVBand="1" w:val="04A0"/>
      </w:tblPr>
      <w:tblGrid>
        <w:gridCol w:w="3740"/>
        <w:gridCol w:w="3740"/>
        <w:gridCol w:w="3740"/>
        <w:gridCol w:w="3740"/>
      </w:tblGrid>
      <w:tr>
        <w:trPr>
          <w:tblHeader w:val="true"/>
        </w:trPr>
        <w:tc>
          <w:tcPr>
            <w:tcW w:type="dxa" w:w="3740"/>
            <w:shd w:fill="17365D"/>
            <w:vAlign w:val="center"/>
          </w:tcPr>
          <w:p>
            <w:r>
              <w:rPr>
                <w:b/>
                <w:color w:val="FFFFFF"/>
                <w:sz w:val="14"/>
              </w:rPr>
              <w:t>File</w:t>
            </w:r>
          </w:p>
        </w:tc>
        <w:tc>
          <w:tcPr>
            <w:tcW w:type="dxa" w:w="3740"/>
            <w:shd w:fill="17365D"/>
            <w:vAlign w:val="center"/>
          </w:tcPr>
          <w:p>
            <w:r>
              <w:rPr>
                <w:b/>
                <w:color w:val="FFFFFF"/>
                <w:sz w:val="14"/>
              </w:rPr>
              <w:t>Kind</w:t>
            </w:r>
          </w:p>
        </w:tc>
        <w:tc>
          <w:tcPr>
            <w:tcW w:type="dxa" w:w="3740"/>
            <w:shd w:fill="17365D"/>
            <w:vAlign w:val="center"/>
          </w:tcPr>
          <w:p>
            <w:r>
              <w:rPr>
                <w:b/>
                <w:color w:val="FFFFFF"/>
                <w:sz w:val="14"/>
              </w:rPr>
              <w:t>Responsibility</w:t>
            </w:r>
          </w:p>
        </w:tc>
        <w:tc>
          <w:tcPr>
            <w:tcW w:type="dxa" w:w="3740"/>
            <w:shd w:fill="17365D"/>
            <w:vAlign w:val="center"/>
          </w:tcPr>
          <w:p>
            <w:r>
              <w:rPr>
                <w:b/>
                <w:color w:val="FFFFFF"/>
                <w:sz w:val="14"/>
              </w:rPr>
              <w:t>Change discipline</w:t>
            </w:r>
          </w:p>
        </w:tc>
      </w:tr>
      <w:tr>
        <w:tc>
          <w:tcPr>
            <w:tcW w:type="dxa" w:w="3312"/>
            <w:vAlign w:val="top"/>
          </w:tcPr>
          <w:p>
            <w:pPr>
              <w:spacing w:after="20"/>
            </w:pPr>
            <w:r>
              <w:rPr>
                <w:sz w:val="14"/>
              </w:rPr>
              <w:t>.bazelversion</w:t>
            </w:r>
          </w:p>
        </w:tc>
        <w:tc>
          <w:tcPr>
            <w:tcW w:type="dxa" w:w="1440"/>
            <w:vAlign w:val="top"/>
          </w:tcPr>
          <w:p>
            <w:pPr>
              <w:spacing w:after="20"/>
            </w:pPr>
            <w:r>
              <w:rPr>
                <w:sz w:val="14"/>
              </w:rPr>
              <w:t>Implementation / tool</w:t>
            </w:r>
          </w:p>
        </w:tc>
        <w:tc>
          <w:tcPr>
            <w:tcW w:type="dxa" w:w="6624"/>
            <w:vAlign w:val="top"/>
          </w:tcPr>
          <w:p>
            <w:pPr>
              <w:spacing w:after="20"/>
            </w:pPr>
            <w:r>
              <w:rPr>
                <w:sz w:val="14"/>
              </w:rPr>
              <w:t>pins the Bazel version for the optional MediaPipe bridge</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CMakeLists.txt</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primary C++ build graph, feature flags, executable and CTest registration</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README.md</w:t>
            </w:r>
          </w:p>
        </w:tc>
        <w:tc>
          <w:tcPr>
            <w:tcW w:type="dxa" w:w="1440"/>
            <w:vAlign w:val="top"/>
          </w:tcPr>
          <w:p>
            <w:pPr>
              <w:spacing w:after="20"/>
            </w:pPr>
            <w:r>
              <w:rPr>
                <w:sz w:val="14"/>
              </w:rPr>
              <w:t>Implementation / tool</w:t>
            </w:r>
          </w:p>
        </w:tc>
        <w:tc>
          <w:tcPr>
            <w:tcW w:type="dxa" w:w="6624"/>
            <w:vAlign w:val="top"/>
          </w:tcPr>
          <w:p>
            <w:pPr>
              <w:spacing w:after="20"/>
            </w:pPr>
            <w:r>
              <w:rPr>
                <w:sz w:val="14"/>
              </w:rPr>
              <w:t>minimal build entry point; use the handoff and architecture docs for full context</w:t>
            </w:r>
          </w:p>
        </w:tc>
        <w:tc>
          <w:tcPr>
            <w:tcW w:type="dxa" w:w="3168"/>
            <w:vAlign w:val="top"/>
          </w:tcPr>
          <w:p>
            <w:pPr>
              <w:spacing w:after="20"/>
            </w:pPr>
            <w:r>
              <w:rPr>
                <w:sz w:val="14"/>
              </w:rPr>
              <w:t>Keep behavior deterministic and update evidence for changed claims.</w:t>
            </w:r>
          </w:p>
        </w:tc>
      </w:tr>
      <w:tr>
        <w:tc>
          <w:tcPr>
            <w:tcW w:type="dxa" w:w="3312"/>
            <w:vAlign w:val="top"/>
            <w:shd w:fill="F3F6FA"/>
          </w:tcPr>
          <w:p>
            <w:pPr>
              <w:spacing w:after="20"/>
            </w:pPr>
            <w:r>
              <w:rPr>
                <w:sz w:val="14"/>
              </w:rPr>
              <w:t>config/dms-presentation.example.conf</w:t>
            </w:r>
          </w:p>
        </w:tc>
        <w:tc>
          <w:tcPr>
            <w:tcW w:type="dxa" w:w="1440"/>
            <w:vAlign w:val="top"/>
            <w:shd w:fill="F3F6FA"/>
          </w:tcPr>
          <w:p>
            <w:pPr>
              <w:spacing w:after="20"/>
            </w:pPr>
            <w:r>
              <w:rPr>
                <w:sz w:val="14"/>
              </w:rPr>
              <w:t>Implementation / tool</w:t>
            </w:r>
          </w:p>
        </w:tc>
        <w:tc>
          <w:tcPr>
            <w:tcW w:type="dxa" w:w="6624"/>
            <w:vAlign w:val="top"/>
            <w:shd w:fill="F3F6FA"/>
          </w:tcPr>
          <w:p>
            <w:pPr>
              <w:spacing w:after="20"/>
            </w:pPr>
            <w:r>
              <w:rPr>
                <w:sz w:val="14"/>
              </w:rPr>
              <w:t>example, documented runtime presentation/ROI/statistics profile</w:t>
            </w:r>
          </w:p>
        </w:tc>
        <w:tc>
          <w:tcPr>
            <w:tcW w:type="dxa" w:w="3168"/>
            <w:vAlign w:val="top"/>
            <w:shd w:fill="F3F6FA"/>
          </w:tcPr>
          <w:p>
            <w:pPr>
              <w:spacing w:after="20"/>
            </w:pPr>
            <w:r>
              <w:rPr>
                <w:sz w:val="14"/>
              </w:rPr>
              <w:t>Keep behavior deterministic and update evidence for changed claims.</w:t>
            </w:r>
          </w:p>
        </w:tc>
      </w:tr>
      <w:tr>
        <w:tc>
          <w:tcPr>
            <w:tcW w:type="dxa" w:w="3312"/>
            <w:vAlign w:val="top"/>
          </w:tcPr>
          <w:p>
            <w:pPr>
              <w:spacing w:after="20"/>
            </w:pPr>
            <w:r>
              <w:rPr>
                <w:sz w:val="14"/>
              </w:rPr>
              <w:t>config/dms-presentation.roi-validation.conf</w:t>
            </w:r>
          </w:p>
        </w:tc>
        <w:tc>
          <w:tcPr>
            <w:tcW w:type="dxa" w:w="1440"/>
            <w:vAlign w:val="top"/>
          </w:tcPr>
          <w:p>
            <w:pPr>
              <w:spacing w:after="20"/>
            </w:pPr>
            <w:r>
              <w:rPr>
                <w:sz w:val="14"/>
              </w:rPr>
              <w:t>Implementation / tool</w:t>
            </w:r>
          </w:p>
        </w:tc>
        <w:tc>
          <w:tcPr>
            <w:tcW w:type="dxa" w:w="6624"/>
            <w:vAlign w:val="top"/>
          </w:tcPr>
          <w:p>
            <w:pPr>
              <w:spacing w:after="20"/>
            </w:pPr>
            <w:r>
              <w:rPr>
                <w:sz w:val="14"/>
              </w:rPr>
              <w:t>example, documented runtime presentation/ROI/statistics profile</w:t>
            </w:r>
          </w:p>
        </w:tc>
        <w:tc>
          <w:tcPr>
            <w:tcW w:type="dxa" w:w="3168"/>
            <w:vAlign w:val="top"/>
          </w:tcPr>
          <w:p>
            <w:pPr>
              <w:spacing w:after="20"/>
            </w:pPr>
            <w:r>
              <w:rPr>
                <w:sz w:val="14"/>
              </w:rPr>
              <w:t>Keep behavior deterministic and update evidence for changed claims.</w:t>
            </w:r>
          </w:p>
        </w:tc>
      </w:tr>
    </w:tbl>
    <w:p>
      <w:r>
        <w:br w:type="page"/>
      </w:r>
    </w:p>
    <w:p>
      <w:pPr>
        <w:pStyle w:val="Heading1"/>
      </w:pPr>
      <w:r>
        <w:t>Documentation and evidence map</w:t>
      </w:r>
    </w:p>
    <w:tbl>
      <w:tblPr>
        <w:tblStyle w:val="TableGrid"/>
        <w:tblW w:type="auto" w:w="0"/>
        <w:jc w:val="center"/>
        <w:tblLook w:firstColumn="1" w:firstRow="1" w:lastColumn="0" w:lastRow="0" w:noHBand="0" w:noVBand="1" w:val="04A0"/>
      </w:tblPr>
      <w:tblGrid>
        <w:gridCol w:w="7481"/>
        <w:gridCol w:w="7481"/>
      </w:tblGrid>
      <w:tr>
        <w:trPr>
          <w:tblHeader w:val="true"/>
        </w:trPr>
        <w:tc>
          <w:tcPr>
            <w:tcW w:type="dxa" w:w="7481"/>
            <w:shd w:fill="17365D"/>
            <w:vAlign w:val="center"/>
          </w:tcPr>
          <w:p>
            <w:r>
              <w:rPr>
                <w:b/>
                <w:color w:val="FFFFFF"/>
                <w:sz w:val="16"/>
              </w:rPr>
              <w:t>Document</w:t>
            </w:r>
          </w:p>
        </w:tc>
        <w:tc>
          <w:tcPr>
            <w:tcW w:type="dxa" w:w="7481"/>
            <w:shd w:fill="17365D"/>
            <w:vAlign w:val="center"/>
          </w:tcPr>
          <w:p>
            <w:r>
              <w:rPr>
                <w:b/>
                <w:color w:val="FFFFFF"/>
                <w:sz w:val="16"/>
              </w:rPr>
              <w:t>Use</w:t>
            </w:r>
          </w:p>
        </w:tc>
      </w:tr>
      <w:tr>
        <w:tc>
          <w:tcPr>
            <w:tcW w:type="dxa" w:w="7200"/>
            <w:vAlign w:val="top"/>
          </w:tcPr>
          <w:p>
            <w:pPr>
              <w:spacing w:after="20"/>
            </w:pPr>
            <w:r>
              <w:rPr>
                <w:sz w:val="16"/>
              </w:rPr>
              <w:t>docs/ARCHITECTURE.md</w:t>
            </w:r>
          </w:p>
        </w:tc>
        <w:tc>
          <w:tcPr>
            <w:tcW w:type="dxa" w:w="7344"/>
            <w:vAlign w:val="top"/>
          </w:tcPr>
          <w:p>
            <w:pPr>
              <w:spacing w:after="20"/>
            </w:pPr>
            <w:r>
              <w:rPr>
                <w:sz w:val="16"/>
              </w:rPr>
              <w:t>Architecture/contracts</w:t>
            </w:r>
          </w:p>
        </w:tc>
      </w:tr>
      <w:tr>
        <w:tc>
          <w:tcPr>
            <w:tcW w:type="dxa" w:w="7200"/>
            <w:vAlign w:val="top"/>
            <w:shd w:fill="F3F6FA"/>
          </w:tcPr>
          <w:p>
            <w:pPr>
              <w:spacing w:after="20"/>
            </w:pPr>
            <w:r>
              <w:rPr>
                <w:sz w:val="16"/>
              </w:rPr>
              <w:t>docs/COLLABORATOR_TESTING_HANDOFF.md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docs/DEVELOPMENT_PLAN.md</w:t>
            </w:r>
          </w:p>
        </w:tc>
        <w:tc>
          <w:tcPr>
            <w:tcW w:type="dxa" w:w="7344"/>
            <w:vAlign w:val="top"/>
          </w:tcPr>
          <w:p>
            <w:pPr>
              <w:spacing w:after="20"/>
            </w:pPr>
            <w:r>
              <w:rPr>
                <w:sz w:val="16"/>
              </w:rPr>
              <w:t>Handoff, platform or release readiness</w:t>
            </w:r>
          </w:p>
        </w:tc>
      </w:tr>
      <w:tr>
        <w:tc>
          <w:tcPr>
            <w:tcW w:type="dxa" w:w="7200"/>
            <w:vAlign w:val="top"/>
            <w:shd w:fill="F3F6FA"/>
          </w:tcPr>
          <w:p>
            <w:pPr>
              <w:spacing w:after="20"/>
            </w:pPr>
            <w:r>
              <w:rPr>
                <w:sz w:val="16"/>
              </w:rPr>
              <w:t>docs/DISPLAY_AOI_STATISTICS_CONFIGURATION.md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docs/DMS_CORE.md</w:t>
            </w:r>
          </w:p>
        </w:tc>
        <w:tc>
          <w:tcPr>
            <w:tcW w:type="dxa" w:w="7344"/>
            <w:vAlign w:val="top"/>
          </w:tcPr>
          <w:p>
            <w:pPr>
              <w:spacing w:after="20"/>
            </w:pPr>
            <w:r>
              <w:rPr>
                <w:sz w:val="16"/>
              </w:rPr>
              <w:t>Architecture/contracts</w:t>
            </w:r>
          </w:p>
        </w:tc>
      </w:tr>
      <w:tr>
        <w:tc>
          <w:tcPr>
            <w:tcW w:type="dxa" w:w="7200"/>
            <w:vAlign w:val="top"/>
            <w:shd w:fill="F3F6FA"/>
          </w:tcPr>
          <w:p>
            <w:pPr>
              <w:spacing w:after="20"/>
            </w:pPr>
            <w:r>
              <w:rPr>
                <w:sz w:val="16"/>
              </w:rPr>
              <w:t>docs/FOLLOW_ON_DEVELOPMENT_PLAN.md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docs/NEXT_DEVELOPMENT_HANDOFF.md</w:t>
            </w:r>
          </w:p>
        </w:tc>
        <w:tc>
          <w:tcPr>
            <w:tcW w:type="dxa" w:w="7344"/>
            <w:vAlign w:val="top"/>
          </w:tcPr>
          <w:p>
            <w:pPr>
              <w:spacing w:after="20"/>
            </w:pPr>
            <w:r>
              <w:rPr>
                <w:sz w:val="16"/>
              </w:rPr>
              <w:t>Handoff, platform or release readiness</w:t>
            </w:r>
          </w:p>
        </w:tc>
      </w:tr>
      <w:tr>
        <w:tc>
          <w:tcPr>
            <w:tcW w:type="dxa" w:w="7200"/>
            <w:vAlign w:val="top"/>
            <w:shd w:fill="F3F6FA"/>
          </w:tcPr>
          <w:p>
            <w:pPr>
              <w:spacing w:after="20"/>
            </w:pPr>
            <w:r>
              <w:rPr>
                <w:sz w:val="16"/>
              </w:rPr>
              <w:t>docs/PERFORMANCE_BENCHMARK.md</w:t>
            </w:r>
          </w:p>
        </w:tc>
        <w:tc>
          <w:tcPr>
            <w:tcW w:type="dxa" w:w="7344"/>
            <w:vAlign w:val="top"/>
            <w:shd w:fill="F3F6FA"/>
          </w:tcPr>
          <w:p>
            <w:pPr>
              <w:spacing w:after="20"/>
            </w:pPr>
            <w:r>
              <w:rPr>
                <w:sz w:val="16"/>
              </w:rPr>
              <w:t>Performance/resource evidence</w:t>
            </w:r>
          </w:p>
        </w:tc>
      </w:tr>
      <w:tr>
        <w:tc>
          <w:tcPr>
            <w:tcW w:type="dxa" w:w="7200"/>
            <w:vAlign w:val="top"/>
          </w:tcPr>
          <w:p>
            <w:pPr>
              <w:spacing w:after="20"/>
            </w:pPr>
            <w:r>
              <w:rPr>
                <w:sz w:val="16"/>
              </w:rPr>
              <w:t>docs/RESOURCE_BENCHMARK_PLAN.md</w:t>
            </w:r>
          </w:p>
        </w:tc>
        <w:tc>
          <w:tcPr>
            <w:tcW w:type="dxa" w:w="7344"/>
            <w:vAlign w:val="top"/>
          </w:tcPr>
          <w:p>
            <w:pPr>
              <w:spacing w:after="20"/>
            </w:pPr>
            <w:r>
              <w:rPr>
                <w:sz w:val="16"/>
              </w:rPr>
              <w:t>Performance/resource evidence</w:t>
            </w:r>
          </w:p>
        </w:tc>
      </w:tr>
      <w:tr>
        <w:tc>
          <w:tcPr>
            <w:tcW w:type="dxa" w:w="7200"/>
            <w:vAlign w:val="top"/>
            <w:shd w:fill="F3F6FA"/>
          </w:tcPr>
          <w:p>
            <w:pPr>
              <w:spacing w:after="20"/>
            </w:pPr>
            <w:r>
              <w:rPr>
                <w:sz w:val="16"/>
              </w:rPr>
              <w:t>docs/SPONSOR_DEMO.md</w:t>
            </w:r>
          </w:p>
        </w:tc>
        <w:tc>
          <w:tcPr>
            <w:tcW w:type="dxa" w:w="7344"/>
            <w:vAlign w:val="top"/>
            <w:shd w:fill="F3F6FA"/>
          </w:tcPr>
          <w:p>
            <w:pPr>
              <w:spacing w:after="20"/>
            </w:pPr>
            <w:r>
              <w:rPr>
                <w:sz w:val="16"/>
              </w:rPr>
              <w:t>Sponsor demo/feedback</w:t>
            </w:r>
          </w:p>
        </w:tc>
      </w:tr>
      <w:tr>
        <w:tc>
          <w:tcPr>
            <w:tcW w:type="dxa" w:w="7200"/>
            <w:vAlign w:val="top"/>
          </w:tcPr>
          <w:p>
            <w:pPr>
              <w:spacing w:after="20"/>
            </w:pPr>
            <w:r>
              <w:rPr>
                <w:sz w:val="16"/>
              </w:rPr>
              <w:t>docs/SPONSOR_DEMO_VALIDATION.md</w:t>
            </w:r>
          </w:p>
        </w:tc>
        <w:tc>
          <w:tcPr>
            <w:tcW w:type="dxa" w:w="7344"/>
            <w:vAlign w:val="top"/>
          </w:tcPr>
          <w:p>
            <w:pPr>
              <w:spacing w:after="20"/>
            </w:pPr>
            <w:r>
              <w:rPr>
                <w:sz w:val="16"/>
              </w:rPr>
              <w:t>Sponsor demo/feedback</w:t>
            </w:r>
          </w:p>
        </w:tc>
      </w:tr>
      <w:tr>
        <w:tc>
          <w:tcPr>
            <w:tcW w:type="dxa" w:w="7200"/>
            <w:vAlign w:val="top"/>
            <w:shd w:fill="F3F6FA"/>
          </w:tcPr>
          <w:p>
            <w:pPr>
              <w:spacing w:after="20"/>
            </w:pPr>
            <w:r>
              <w:rPr>
                <w:sz w:val="16"/>
              </w:rPr>
              <w:t>docs/SPONSOR_FEEDBACK_IMPLEMENTATION_TRACKER.md</w:t>
            </w:r>
          </w:p>
        </w:tc>
        <w:tc>
          <w:tcPr>
            <w:tcW w:type="dxa" w:w="7344"/>
            <w:vAlign w:val="top"/>
            <w:shd w:fill="F3F6FA"/>
          </w:tcPr>
          <w:p>
            <w:pPr>
              <w:spacing w:after="20"/>
            </w:pPr>
            <w:r>
              <w:rPr>
                <w:sz w:val="16"/>
              </w:rPr>
              <w:t>Sponsor demo/feedback</w:t>
            </w:r>
          </w:p>
        </w:tc>
      </w:tr>
      <w:tr>
        <w:tc>
          <w:tcPr>
            <w:tcW w:type="dxa" w:w="7200"/>
            <w:vAlign w:val="top"/>
          </w:tcPr>
          <w:p>
            <w:pPr>
              <w:spacing w:after="20"/>
            </w:pPr>
            <w:r>
              <w:rPr>
                <w:sz w:val="16"/>
              </w:rPr>
              <w:t>docs/STAGE19_DATASET_PROTOCOL.md</w:t>
            </w:r>
          </w:p>
        </w:tc>
        <w:tc>
          <w:tcPr>
            <w:tcW w:type="dxa" w:w="7344"/>
            <w:vAlign w:val="top"/>
          </w:tcPr>
          <w:p>
            <w:pPr>
              <w:spacing w:after="20"/>
            </w:pPr>
            <w:r>
              <w:rPr>
                <w:sz w:val="16"/>
              </w:rPr>
              <w:t>Handoff, platform or release readiness</w:t>
            </w:r>
          </w:p>
        </w:tc>
      </w:tr>
      <w:tr>
        <w:tc>
          <w:tcPr>
            <w:tcW w:type="dxa" w:w="7200"/>
            <w:vAlign w:val="top"/>
            <w:shd w:fill="F3F6FA"/>
          </w:tcPr>
          <w:p>
            <w:pPr>
              <w:spacing w:after="20"/>
            </w:pPr>
            <w:r>
              <w:rPr>
                <w:sz w:val="16"/>
              </w:rPr>
              <w:t>docs/STAGE19_MODEL_PROVENANCE.md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docs/STAGE19_PRELIMINARY_RESULTS.md</w:t>
            </w:r>
          </w:p>
        </w:tc>
        <w:tc>
          <w:tcPr>
            <w:tcW w:type="dxa" w:w="7344"/>
            <w:vAlign w:val="top"/>
          </w:tcPr>
          <w:p>
            <w:pPr>
              <w:spacing w:after="20"/>
            </w:pPr>
            <w:r>
              <w:rPr>
                <w:sz w:val="16"/>
              </w:rPr>
              <w:t>Handoff, platform or release readiness</w:t>
            </w:r>
          </w:p>
        </w:tc>
      </w:tr>
      <w:tr>
        <w:tc>
          <w:tcPr>
            <w:tcW w:type="dxa" w:w="7200"/>
            <w:vAlign w:val="top"/>
            <w:shd w:fill="F3F6FA"/>
          </w:tcPr>
          <w:p>
            <w:pPr>
              <w:spacing w:after="20"/>
            </w:pPr>
            <w:r>
              <w:rPr>
                <w:sz w:val="16"/>
              </w:rPr>
              <w:t>docs/STAGE19_RECORDING_GUIDE.md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docs/STAGE20_ACCURACY_CHECKPOINT.md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docs/STAGE20_ACCURACY_GATE_RERUN.md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docs/STAGE20_ANNOTATION_PROTOCOL.md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docs/STAGE20_DENSE_EYE_STATE_RESULTS.md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docs/STAGE20_EYE_AVAILABILITY_ANALYSIS.md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docs/STAGE20_EYE_OCCLUSION_MODEL_OPTIONS.md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docs/STAGE20_EYE_ROI_CROP_AUDIT.md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docs/STAGE20_EYE_ROI_LABELING_PROTOCOL.md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docs/STAGE20_OPERATIONAL_POLICY_RECOMMENDATION.md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docs/STAGE20_POSE_GAZE_TRACE_REVIEW.md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docs/STAGE20_SECOND_BATCH_RECORDING_GUIDE.md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docs/STAGE20_SEMANTIC_RESULTS.md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docs/STAGE20_STATUS.md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docs/STAGE20_TIMESTAMPING_OPERATOR_GUIDE.md</w:t>
            </w:r>
          </w:p>
        </w:tc>
        <w:tc>
          <w:tcPr>
            <w:tcW w:type="dxa" w:w="7344"/>
            <w:vAlign w:val="top"/>
            <w:shd w:fill="F3F6FA"/>
          </w:tcPr>
          <w:p>
            <w:pPr>
              <w:spacing w:after="20"/>
            </w:pPr>
            <w:r>
              <w:rPr>
                <w:sz w:val="16"/>
              </w:rPr>
              <w:t>Stage 20 accuracy/data evidence</w:t>
            </w:r>
          </w:p>
        </w:tc>
      </w:tr>
      <w:tr>
        <w:tc>
          <w:tcPr>
            <w:tcW w:type="dxa" w:w="7200"/>
            <w:vAlign w:val="top"/>
          </w:tcPr>
          <w:p>
            <w:pPr>
              <w:spacing w:after="20"/>
            </w:pPr>
            <w:r>
              <w:rPr>
                <w:sz w:val="16"/>
              </w:rPr>
              <w:t>docs/STAGE20_TRACE_ERROR_ANALYSIS.md</w:t>
            </w:r>
          </w:p>
        </w:tc>
        <w:tc>
          <w:tcPr>
            <w:tcW w:type="dxa" w:w="7344"/>
            <w:vAlign w:val="top"/>
          </w:tcPr>
          <w:p>
            <w:pPr>
              <w:spacing w:after="20"/>
            </w:pPr>
            <w:r>
              <w:rPr>
                <w:sz w:val="16"/>
              </w:rPr>
              <w:t>Stage 20 accuracy/data evidence</w:t>
            </w:r>
          </w:p>
        </w:tc>
      </w:tr>
      <w:tr>
        <w:tc>
          <w:tcPr>
            <w:tcW w:type="dxa" w:w="7200"/>
            <w:vAlign w:val="top"/>
            <w:shd w:fill="F3F6FA"/>
          </w:tcPr>
          <w:p>
            <w:pPr>
              <w:spacing w:after="20"/>
            </w:pPr>
            <w:r>
              <w:rPr>
                <w:sz w:val="16"/>
              </w:rPr>
              <w:t>docs/STAGE21_ARCHITECTURE.md</w:t>
            </w:r>
          </w:p>
        </w:tc>
        <w:tc>
          <w:tcPr>
            <w:tcW w:type="dxa" w:w="7344"/>
            <w:vAlign w:val="top"/>
            <w:shd w:fill="F3F6FA"/>
          </w:tcPr>
          <w:p>
            <w:pPr>
              <w:spacing w:after="20"/>
            </w:pPr>
            <w:r>
              <w:rPr>
                <w:sz w:val="16"/>
              </w:rPr>
              <w:t>Stage 21 driver identification</w:t>
            </w:r>
          </w:p>
        </w:tc>
      </w:tr>
      <w:tr>
        <w:tc>
          <w:tcPr>
            <w:tcW w:type="dxa" w:w="7200"/>
            <w:vAlign w:val="top"/>
          </w:tcPr>
          <w:p>
            <w:pPr>
              <w:spacing w:after="20"/>
            </w:pPr>
            <w:r>
              <w:rPr>
                <w:sz w:val="16"/>
              </w:rPr>
              <w:t>docs/STAGE21_BASELINE_RESULTS.md</w:t>
            </w:r>
          </w:p>
        </w:tc>
        <w:tc>
          <w:tcPr>
            <w:tcW w:type="dxa" w:w="7344"/>
            <w:vAlign w:val="top"/>
          </w:tcPr>
          <w:p>
            <w:pPr>
              <w:spacing w:after="20"/>
            </w:pPr>
            <w:r>
              <w:rPr>
                <w:sz w:val="16"/>
              </w:rPr>
              <w:t>Stage 21 driver identification</w:t>
            </w:r>
          </w:p>
        </w:tc>
      </w:tr>
      <w:tr>
        <w:tc>
          <w:tcPr>
            <w:tcW w:type="dxa" w:w="7200"/>
            <w:vAlign w:val="top"/>
            <w:shd w:fill="F3F6FA"/>
          </w:tcPr>
          <w:p>
            <w:pPr>
              <w:spacing w:after="20"/>
            </w:pPr>
            <w:r>
              <w:rPr>
                <w:sz w:val="16"/>
              </w:rPr>
              <w:t>docs/STAGE21_DRIVER_IDENTIFICATION_PLAN.md</w:t>
            </w:r>
          </w:p>
        </w:tc>
        <w:tc>
          <w:tcPr>
            <w:tcW w:type="dxa" w:w="7344"/>
            <w:vAlign w:val="top"/>
            <w:shd w:fill="F3F6FA"/>
          </w:tcPr>
          <w:p>
            <w:pPr>
              <w:spacing w:after="20"/>
            </w:pPr>
            <w:r>
              <w:rPr>
                <w:sz w:val="16"/>
              </w:rPr>
              <w:t>Stage 21 driver identification</w:t>
            </w:r>
          </w:p>
        </w:tc>
      </w:tr>
      <w:tr>
        <w:tc>
          <w:tcPr>
            <w:tcW w:type="dxa" w:w="7200"/>
            <w:vAlign w:val="top"/>
          </w:tcPr>
          <w:p>
            <w:pPr>
              <w:spacing w:after="20"/>
            </w:pPr>
            <w:r>
              <w:rPr>
                <w:sz w:val="16"/>
              </w:rPr>
              <w:t>docs/STAGE21_ENROLLMENT_PROFILE.md</w:t>
            </w:r>
          </w:p>
        </w:tc>
        <w:tc>
          <w:tcPr>
            <w:tcW w:type="dxa" w:w="7344"/>
            <w:vAlign w:val="top"/>
          </w:tcPr>
          <w:p>
            <w:pPr>
              <w:spacing w:after="20"/>
            </w:pPr>
            <w:r>
              <w:rPr>
                <w:sz w:val="16"/>
              </w:rPr>
              <w:t>Stage 21 driver identification</w:t>
            </w:r>
          </w:p>
        </w:tc>
      </w:tr>
      <w:tr>
        <w:tc>
          <w:tcPr>
            <w:tcW w:type="dxa" w:w="7200"/>
            <w:vAlign w:val="top"/>
            <w:shd w:fill="F3F6FA"/>
          </w:tcPr>
          <w:p>
            <w:pPr>
              <w:spacing w:after="20"/>
            </w:pPr>
            <w:r>
              <w:rPr>
                <w:sz w:val="16"/>
              </w:rPr>
              <w:t>docs/STAGE21_EVALUATION_PROTOCOL.md</w:t>
            </w:r>
          </w:p>
        </w:tc>
        <w:tc>
          <w:tcPr>
            <w:tcW w:type="dxa" w:w="7344"/>
            <w:vAlign w:val="top"/>
            <w:shd w:fill="F3F6FA"/>
          </w:tcPr>
          <w:p>
            <w:pPr>
              <w:spacing w:after="20"/>
            </w:pPr>
            <w:r>
              <w:rPr>
                <w:sz w:val="16"/>
              </w:rPr>
              <w:t>Stage 21 driver identification</w:t>
            </w:r>
          </w:p>
        </w:tc>
      </w:tr>
      <w:tr>
        <w:tc>
          <w:tcPr>
            <w:tcW w:type="dxa" w:w="7200"/>
            <w:vAlign w:val="top"/>
          </w:tcPr>
          <w:p>
            <w:pPr>
              <w:spacing w:after="20"/>
            </w:pPr>
            <w:r>
              <w:rPr>
                <w:sz w:val="16"/>
              </w:rPr>
              <w:t>docs/STAGE21_MODEL_CANDIDATES.md</w:t>
            </w:r>
          </w:p>
        </w:tc>
        <w:tc>
          <w:tcPr>
            <w:tcW w:type="dxa" w:w="7344"/>
            <w:vAlign w:val="top"/>
          </w:tcPr>
          <w:p>
            <w:pPr>
              <w:spacing w:after="20"/>
            </w:pPr>
            <w:r>
              <w:rPr>
                <w:sz w:val="16"/>
              </w:rPr>
              <w:t>Stage 21 driver identification</w:t>
            </w:r>
          </w:p>
        </w:tc>
      </w:tr>
      <w:tr>
        <w:tc>
          <w:tcPr>
            <w:tcW w:type="dxa" w:w="7200"/>
            <w:vAlign w:val="top"/>
            <w:shd w:fill="F3F6FA"/>
          </w:tcPr>
          <w:p>
            <w:pPr>
              <w:spacing w:after="20"/>
            </w:pPr>
            <w:r>
              <w:rPr>
                <w:sz w:val="16"/>
              </w:rPr>
              <w:t>docs/STAGE21_PRODUCT_PRIVACY_DECISION_RECORD.md</w:t>
            </w:r>
          </w:p>
        </w:tc>
        <w:tc>
          <w:tcPr>
            <w:tcW w:type="dxa" w:w="7344"/>
            <w:vAlign w:val="top"/>
            <w:shd w:fill="F3F6FA"/>
          </w:tcPr>
          <w:p>
            <w:pPr>
              <w:spacing w:after="20"/>
            </w:pPr>
            <w:r>
              <w:rPr>
                <w:sz w:val="16"/>
              </w:rPr>
              <w:t>Stage 21 driver identification</w:t>
            </w:r>
          </w:p>
        </w:tc>
      </w:tr>
      <w:tr>
        <w:tc>
          <w:tcPr>
            <w:tcW w:type="dxa" w:w="7200"/>
            <w:vAlign w:val="top"/>
          </w:tcPr>
          <w:p>
            <w:pPr>
              <w:spacing w:after="20"/>
            </w:pPr>
            <w:r>
              <w:rPr>
                <w:sz w:val="16"/>
              </w:rPr>
              <w:t>docs/STAGE21_STATUS.md</w:t>
            </w:r>
          </w:p>
        </w:tc>
        <w:tc>
          <w:tcPr>
            <w:tcW w:type="dxa" w:w="7344"/>
            <w:vAlign w:val="top"/>
          </w:tcPr>
          <w:p>
            <w:pPr>
              <w:spacing w:after="20"/>
            </w:pPr>
            <w:r>
              <w:rPr>
                <w:sz w:val="16"/>
              </w:rPr>
              <w:t>Stage 21 driver identification</w:t>
            </w:r>
          </w:p>
        </w:tc>
      </w:tr>
      <w:tr>
        <w:tc>
          <w:tcPr>
            <w:tcW w:type="dxa" w:w="7200"/>
            <w:vAlign w:val="top"/>
            <w:shd w:fill="F3F6FA"/>
          </w:tcPr>
          <w:p>
            <w:pPr>
              <w:spacing w:after="20"/>
            </w:pPr>
            <w:r>
              <w:rPr>
                <w:sz w:val="16"/>
              </w:rPr>
              <w:t>docs/STAGE24_VALIDATION_REPORT.md</w:t>
            </w:r>
          </w:p>
        </w:tc>
        <w:tc>
          <w:tcPr>
            <w:tcW w:type="dxa" w:w="7344"/>
            <w:vAlign w:val="top"/>
            <w:shd w:fill="F3F6FA"/>
          </w:tcPr>
          <w:p>
            <w:pPr>
              <w:spacing w:after="20"/>
            </w:pPr>
            <w:r>
              <w:rPr>
                <w:sz w:val="16"/>
              </w:rPr>
              <w:t>Handoff, platform or release readiness</w:t>
            </w:r>
          </w:p>
        </w:tc>
      </w:tr>
      <w:tr>
        <w:tc>
          <w:tcPr>
            <w:tcW w:type="dxa" w:w="7200"/>
            <w:vAlign w:val="top"/>
          </w:tcPr>
          <w:p>
            <w:pPr>
              <w:spacing w:after="20"/>
            </w:pPr>
            <w:r>
              <w:rPr>
                <w:sz w:val="16"/>
              </w:rPr>
              <w:t>docs/THIRD_PARTY_RELEASE_READINESS.md</w:t>
            </w:r>
          </w:p>
        </w:tc>
        <w:tc>
          <w:tcPr>
            <w:tcW w:type="dxa" w:w="7344"/>
            <w:vAlign w:val="top"/>
          </w:tcPr>
          <w:p>
            <w:pPr>
              <w:spacing w:after="20"/>
            </w:pPr>
            <w:r>
              <w:rPr>
                <w:sz w:val="16"/>
              </w:rPr>
              <w:t>Handoff, platform or release readiness</w:t>
            </w:r>
          </w:p>
        </w:tc>
      </w:tr>
      <w:tr>
        <w:tc>
          <w:tcPr>
            <w:tcW w:type="dxa" w:w="7200"/>
            <w:vAlign w:val="top"/>
            <w:shd w:fill="F3F6FA"/>
          </w:tcPr>
          <w:p>
            <w:pPr>
              <w:spacing w:after="20"/>
            </w:pPr>
            <w:r>
              <w:rPr>
                <w:sz w:val="16"/>
              </w:rPr>
              <w:t>docs/TI_AM62_ENABLEMENT_PLAN.md</w:t>
            </w:r>
          </w:p>
        </w:tc>
        <w:tc>
          <w:tcPr>
            <w:tcW w:type="dxa" w:w="7344"/>
            <w:vAlign w:val="top"/>
            <w:shd w:fill="F3F6FA"/>
          </w:tcPr>
          <w:p>
            <w:pPr>
              <w:spacing w:after="20"/>
            </w:pPr>
            <w:r>
              <w:rPr>
                <w:sz w:val="16"/>
              </w:rPr>
              <w:t>Handoff, platform or release readiness</w:t>
            </w:r>
          </w:p>
        </w:tc>
      </w:tr>
    </w:tbl>
    <w:p>
      <w:pPr>
        <w:pStyle w:val="Heading1"/>
      </w:pPr>
      <w:r>
        <w:t>Feature-development checklist</w:t>
      </w:r>
    </w:p>
    <w:p>
      <w:pPr>
        <w:pStyle w:val="ListNumber"/>
      </w:pPr>
      <w:r>
        <w:t>Write the observable contract and failure behavior before choosing a provider.</w:t>
      </w:r>
    </w:p>
    <w:p>
      <w:pPr>
        <w:pStyle w:val="ListNumber"/>
      </w:pPr>
      <w:r>
        <w:t>Keep provider landmark indices behind semantic adapters.</w:t>
      </w:r>
    </w:p>
    <w:p>
      <w:pPr>
        <w:pStyle w:val="ListNumber"/>
      </w:pPr>
      <w:r>
        <w:t>Use source-frame monotonic time; do not derive events from UI or worker latency.</w:t>
      </w:r>
    </w:p>
    <w:p>
      <w:pPr>
        <w:pStyle w:val="ListNumber"/>
      </w:pPr>
      <w:r>
        <w:t>Treat missing/stale/occluded evidence as Unknown or recovering—not as a negative physiological state.</w:t>
      </w:r>
    </w:p>
    <w:p>
      <w:pPr>
        <w:pStyle w:val="ListNumber"/>
      </w:pPr>
      <w:r>
        <w:t>Add focused deterministic tests, then cross-platform build/tests proportional to the claim.</w:t>
      </w:r>
    </w:p>
    <w:p>
      <w:pPr>
        <w:pStyle w:val="ListNumber"/>
      </w:pPr>
      <w:r>
        <w:t>Update the relevant stage report and architecture/inventory when behavior, dependencies or packaging change.</w:t>
      </w:r>
    </w:p>
    <w:p>
      <w:pPr>
        <w:pStyle w:val="ListNumber"/>
      </w:pPr>
      <w:r>
        <w:t>Never commit participant media, identity data, raw private traces, credentials or generated output directories.</w:t>
      </w:r>
    </w:p>
    <w:p>
      <w:pPr>
        <w:pStyle w:val="Heading1"/>
      </w:pPr>
      <w:r>
        <w:t>Current branch and project cautions</w:t>
      </w:r>
    </w:p>
    <w:p>
      <w:r>
        <w:t>Stage work is intentionally split across feature branches. Stage 24 is the most recent display/ROI/statistics integration line; Stage 23 has a closed Windows/Orin resource-instrumentation line; Stage 21 driver identification remains isolated. Merge, release, model training and production-threshold changes require explicit approval.</w:t>
      </w:r>
    </w:p>
    <w:sectPr w:rsidR="00FC693F" w:rsidRPr="0006063C" w:rsidSect="00034616">
      <w:footerReference w:type="default" r:id="rId9"/>
      <w:pgSz w:w="16834" w:h="11909" w:orient="landscape"/>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DMS Next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