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DMS Next Architecture</w:t>
      </w:r>
    </w:p>
    <w:p>
      <w:pPr>
        <w:jc w:val="center"/>
      </w:pPr>
      <w:r>
        <w:rPr>
          <w:color w:val="2F75B5"/>
          <w:sz w:val="28"/>
        </w:rPr>
        <w:t>Sponsor brief — user value, runtime design, portability and technology evidence</w:t>
      </w:r>
    </w:p>
    <w:p/>
    <w:p>
      <w:pPr>
        <w:jc w:val="center"/>
      </w:pPr>
      <w:r>
        <w:rPr>
          <w:b/>
        </w:rPr>
        <w:t>Engineering checkpoint • 2026-09-07</w:t>
        <w:br/>
      </w:r>
      <w:r>
        <w:t>DMS Next • Sponsor and development use</w:t>
      </w:r>
    </w:p>
    <w:p/>
    <w:p>
      <w:pPr>
        <w:pStyle w:val="Heading1"/>
      </w:pPr>
      <w:r>
        <w:t>Executive view</w:t>
      </w:r>
    </w:p>
    <w:p>
      <w:r>
        <w:t>DMS Next is a provider-neutral driver-monitoring platform. The reusable C++ core converts timestamped visual observations into quality-gated calibration, eye/blink statistics and temporal driver-state decisions. Camera, inference runtime, operating-system loading, security storage and device telemetry remain replaceable target adapters.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346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346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Current checkpoint</w:t>
            </w:r>
          </w:p>
        </w:tc>
        <w:tc>
          <w:tcPr>
            <w:tcW w:type="dxa" w:w="3346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Next product gate</w:t>
            </w:r>
          </w:p>
        </w:tc>
      </w:tr>
      <w:tr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Monitoring core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Implemented and deterministically tested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Representative target-camera accuracy and product thresholds</w:t>
            </w:r>
          </w:p>
        </w:tc>
      </w:tr>
      <w:tr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Display / processing ROI / statistics</w:t>
            </w:r>
          </w:p>
        </w:tc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Stage 24 engineering complete</w:t>
            </w:r>
          </w:p>
        </w:tc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Approve UI wording, rolling window and vehicle-specific ROI</w:t>
            </w:r>
          </w:p>
        </w:tc>
      </w:tr>
      <w:tr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CPU/core/memory evidence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Stage 23 Windows + Orin scope complete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Live driver comparison; Ubuntu x64 deferred</w:t>
            </w:r>
          </w:p>
        </w:tc>
      </w:tr>
      <w:tr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Driver identification</w:t>
            </w:r>
          </w:p>
        </w:tc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Offline interfaces, baseline and encrypted profile foundation</w:t>
            </w:r>
          </w:p>
        </w:tc>
        <w:tc>
          <w:tcPr>
            <w:tcW w:type="dxa" w:w="3346"/>
            <w:vAlign w:val="top"/>
            <w:shd w:fill="F3F6FA"/>
          </w:tcPr>
          <w:p>
            <w:pPr>
              <w:spacing w:after="20"/>
            </w:pPr>
            <w:r>
              <w:rPr>
                <w:sz w:val="16"/>
              </w:rPr>
              <w:t>Separate biometric/PAD consent, private evaluation and threshold approval</w:t>
            </w:r>
          </w:p>
        </w:tc>
      </w:tr>
      <w:tr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TI AM62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Enablement plan only</w:t>
            </w:r>
          </w:p>
        </w:tc>
        <w:tc>
          <w:tcPr>
            <w:tcW w:type="dxa" w:w="3346"/>
            <w:vAlign w:val="top"/>
          </w:tcPr>
          <w:p>
            <w:pPr>
              <w:spacing w:after="20"/>
            </w:pPr>
            <w:r>
              <w:rPr>
                <w:sz w:val="16"/>
              </w:rPr>
              <w:t>Board, camera, Processor SDK and target acceptance run</w:t>
            </w:r>
          </w:p>
        </w:tc>
      </w:tr>
    </w:tbl>
    <w:p>
      <w:r>
        <w:br w:type="page"/>
      </w:r>
    </w:p>
    <w:p>
      <w:pPr>
        <w:pStyle w:val="Heading1"/>
      </w:pPr>
      <w:r>
        <w:t>1. User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user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Enrollment and identity are gated; Unknown is a valid outcome. Calibration accepts only stable, usable evidence before monitoring and statistics begin.</w:t>
      </w:r>
    </w:p>
    <w:p>
      <w:r>
        <w:br w:type="page"/>
      </w:r>
    </w:p>
    <w:p>
      <w:pPr>
        <w:pStyle w:val="Heading1"/>
      </w:pPr>
      <w:r>
        <w:t>2. Developer/runtime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9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Provider-specific indices and SDK types stop before semantic observations. Temporal logic and presentation stay deterministic and independently testable.</w:t>
      </w:r>
    </w:p>
    <w:p>
      <w:r>
        <w:br w:type="page"/>
      </w:r>
    </w:p>
    <w:p>
      <w:pPr>
        <w:pStyle w:val="Heading1"/>
      </w:pPr>
      <w:r>
        <w:t>3. Portability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9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por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Platform independence starts at the C++ semantic core. Native camera, loader, cryptography, packaging and telemetry adapters are validated per target.</w:t>
      </w:r>
    </w:p>
    <w:p>
      <w:r>
        <w:br w:type="page"/>
      </w:r>
    </w:p>
    <w:p>
      <w:pPr>
        <w:pStyle w:val="Heading1"/>
      </w:pPr>
      <w:r>
        <w:t>4. Technology and release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79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techn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Versions and checksums support reproducibility; model provenance, notices and legal approval remain separate release gates.</w:t>
      </w:r>
    </w:p>
    <w:p>
      <w:pPr>
        <w:pStyle w:val="Heading2"/>
      </w:pPr>
      <w:r>
        <w:t>Design principles</w:t>
      </w:r>
    </w:p>
    <w:p>
      <w:pPr>
        <w:pStyle w:val="Heading3"/>
      </w:pPr>
      <w:r>
        <w:t>1. User workflow</w:t>
      </w:r>
    </w:p>
    <w:p>
      <w:pPr>
        <w:pStyle w:val="ListBullet"/>
      </w:pPr>
      <w:r>
        <w:t>Explicit consent for biometric enrollment.</w:t>
      </w:r>
    </w:p>
    <w:p>
      <w:pPr>
        <w:pStyle w:val="ListBullet"/>
      </w:pPr>
      <w:r>
        <w:t>Open-set recognition returns Unknown when evidence is insufficient.</w:t>
      </w:r>
    </w:p>
    <w:p>
      <w:pPr>
        <w:pStyle w:val="ListBullet"/>
      </w:pPr>
      <w:r>
        <w:t>Driver change/long absence starts a new identity, calibration and statistics epoch.</w:t>
      </w:r>
    </w:p>
    <w:p>
      <w:pPr>
        <w:pStyle w:val="Heading3"/>
      </w:pPr>
      <w:r>
        <w:t>2. Developer/runtime view</w:t>
      </w:r>
    </w:p>
    <w:p>
      <w:pPr>
        <w:pStyle w:val="ListBullet"/>
      </w:pPr>
      <w:r>
        <w:t>Source-frame time—not inference or UI delay—drives events.</w:t>
      </w:r>
    </w:p>
    <w:p>
      <w:pPr>
        <w:pStyle w:val="ListBullet"/>
      </w:pPr>
      <w:r>
        <w:t>Depth-one scheduling bounds latency by dropping superseded work.</w:t>
      </w:r>
    </w:p>
    <w:p>
      <w:pPr>
        <w:pStyle w:val="ListBullet"/>
      </w:pPr>
      <w:r>
        <w:t>Occlusion and stale evidence enter Unknown/recovering states.</w:t>
      </w:r>
    </w:p>
    <w:p>
      <w:pPr>
        <w:pStyle w:val="Heading3"/>
      </w:pPr>
      <w:r>
        <w:t>3. Portability boundary</w:t>
      </w:r>
    </w:p>
    <w:p>
      <w:pPr>
        <w:pStyle w:val="ListBullet"/>
      </w:pPr>
      <w:r>
        <w:t>C++17 core and CMake build are shared.</w:t>
      </w:r>
    </w:p>
    <w:p>
      <w:pPr>
        <w:pStyle w:val="ListBullet"/>
      </w:pPr>
      <w:r>
        <w:t>MediaPipe is an optional five-function runtime-loaded C ABI.</w:t>
      </w:r>
    </w:p>
    <w:p>
      <w:pPr>
        <w:pStyle w:val="ListBullet"/>
      </w:pPr>
      <w:r>
        <w:t>Target support is claimed only after native build, camera, resource and accuracy gates.</w:t>
      </w:r>
    </w:p>
    <w:p>
      <w:pPr>
        <w:pStyle w:val="Heading3"/>
      </w:pPr>
      <w:r>
        <w:t>4. Technology and release evidence</w:t>
      </w:r>
    </w:p>
    <w:p>
      <w:pPr>
        <w:pStyle w:val="ListBullet"/>
      </w:pPr>
      <w:r>
        <w:t>OpenCV 4.8 is the validated baseline; MediaPipe is pinned to v0.10.33/commit.</w:t>
      </w:r>
    </w:p>
    <w:p>
      <w:pPr>
        <w:pStyle w:val="ListBullet"/>
      </w:pPr>
      <w:r>
        <w:t>Model checksums prove byte identity, not redistribution rights.</w:t>
      </w:r>
    </w:p>
    <w:p>
      <w:pPr>
        <w:pStyle w:val="ListBullet"/>
      </w:pPr>
      <w:r>
        <w:t>A release needs exact payload SBOM, notices, model provenance and owner/legal approval.</w:t>
      </w:r>
    </w:p>
    <w:p>
      <w:r>
        <w:br w:type="page"/>
      </w:r>
    </w:p>
    <w:p>
      <w:pPr>
        <w:pStyle w:val="Heading1"/>
      </w:pPr>
      <w:r>
        <w:t>Platform and technology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Layer / component</w:t>
            </w:r>
          </w:p>
        </w:tc>
        <w:tc>
          <w:tcPr>
            <w:tcW w:type="dxa" w:w="2509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Version / boundary</w:t>
            </w:r>
          </w:p>
        </w:tc>
        <w:tc>
          <w:tcPr>
            <w:tcW w:type="dxa" w:w="2509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Platforms</w:t>
            </w:r>
          </w:p>
        </w:tc>
        <w:tc>
          <w:tcPr>
            <w:tcW w:type="dxa" w:w="2509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License / release note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DMS application core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C++17; provider-neutral semantics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Windows x64, Ubuntu x64*, Orin aarch64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Project license not yet declared; release blocked pending owner selection.</w:t>
            </w:r>
          </w:p>
        </w:tc>
      </w:tr>
      <w:tr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OpenCV + contrib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Validated baseline 4.8.0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Windows, Linux x64/aarch64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Apache-2.0 plus exact-build third-party notices.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MediaPipe bridge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0.10.33; commit 3987048…; C ABI v1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Packaged on Windows x64 and Orin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Apache-2.0 plus transitive dependency notices.</w:t>
            </w:r>
          </w:p>
        </w:tc>
      </w:tr>
      <w:tr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YuNet / LBF / Face Landmarker models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Repository checksum-pinned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Per provider/target evidence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Exact artifact provenance and redistribution terms remain release blockers.</w:t>
            </w:r>
          </w:p>
        </w:tc>
      </w:tr>
      <w:tr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Encrypted driver profiles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AES-256-GCM; PBKDF2-HMAC-SHA-256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Windows CNG/DPAPI; Linux OpenSSL 3</w:t>
            </w:r>
          </w:p>
        </w:tc>
        <w:tc>
          <w:tcPr>
            <w:tcW w:type="dxa" w:w="2509"/>
            <w:vAlign w:val="top"/>
          </w:tcPr>
          <w:p>
            <w:pPr>
              <w:spacing w:after="20"/>
            </w:pPr>
            <w:r>
              <w:rPr>
                <w:sz w:val="15"/>
              </w:rPr>
              <w:t>Identity processing remains separately consented and gated.</w:t>
            </w:r>
          </w:p>
        </w:tc>
      </w:tr>
      <w:tr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TI SK-AM62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Planned adapter/package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Not yet validated</w:t>
            </w:r>
          </w:p>
        </w:tc>
        <w:tc>
          <w:tcPr>
            <w:tcW w:type="dxa" w:w="2509"/>
            <w:vAlign w:val="top"/>
            <w:shd w:fill="F3F6FA"/>
          </w:tcPr>
          <w:p>
            <w:pPr>
              <w:spacing w:after="20"/>
            </w:pPr>
            <w:r>
              <w:rPr>
                <w:sz w:val="15"/>
              </w:rPr>
              <w:t>Select BSP/SDK and inventory TI/OSS terms before claim.</w:t>
            </w:r>
          </w:p>
        </w:tc>
      </w:tr>
    </w:tbl>
    <w:p>
      <w:r>
        <w:t>* Generic Ubuntu x64 was validated earlier for applicable core/provider work; the Stage 23 collector re-check is explicitly deferred because the available WSL image lacks a compiler.</w:t>
      </w:r>
    </w:p>
    <w:p>
      <w:pPr>
        <w:pStyle w:val="Heading1"/>
      </w:pPr>
      <w:r>
        <w:t>Sponsor decisions requested</w:t>
      </w:r>
    </w:p>
    <w:p>
      <w:pPr>
        <w:pStyle w:val="ListNumber"/>
      </w:pPr>
      <w:r>
        <w:t>Approve final display wording, five-minute rolling-window default and reset behavior at confirmed driver change.</w:t>
      </w:r>
    </w:p>
    <w:p>
      <w:pPr>
        <w:pStyle w:val="ListNumber"/>
      </w:pPr>
      <w:r>
        <w:t>Provide a representative driver/camera session for live Windows and Orin measurements.</w:t>
      </w:r>
    </w:p>
    <w:p>
      <w:pPr>
        <w:pStyle w:val="ListNumber"/>
      </w:pPr>
      <w:r>
        <w:t>For identification, approve separate biometric/PAD consent and later production thresholds after private results.</w:t>
      </w:r>
    </w:p>
    <w:p>
      <w:pPr>
        <w:pStyle w:val="ListNumber"/>
      </w:pPr>
      <w:r>
        <w:t>For AM62, provide the physical SK-AM62, intended camera and selected Processor SDK.</w:t>
      </w:r>
    </w:p>
    <w:p>
      <w:pPr>
        <w:pStyle w:val="ListNumber"/>
      </w:pPr>
      <w:r>
        <w:t>Select the project source license and authorize legal/release review when distribution is intended.</w:t>
      </w:r>
    </w:p>
    <w:p>
      <w:pPr>
        <w:pStyle w:val="Heading1"/>
      </w:pPr>
      <w:r>
        <w:t>Claim boundary</w:t>
      </w:r>
    </w:p>
    <w:p>
      <w:r>
        <w:t>This brief describes committed engineering evidence, not a safety-certified product, release authorization or production-accuracy claim. Merge, release, model training and threshold changes remain separately controlled.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DMS Next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