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1F6FB2"/>
          <w:sz w:val="17"/>
          <w:spacing w:val="30"/>
        </w:rPr>
        <w:t>BANKING VOICEBOT · INTEGRATION API</w:t>
      </w:r>
    </w:p>
    <w:p>
      <w:pPr>
        <w:spacing w:after="120"/>
        <w:pBdr>
          <w:bottom w:val="single" w:sz="18" w:space="8" w:color="1B4570"/>
        </w:pBdr>
        <w:keepNext/>
      </w:pPr>
      <w:r>
        <w:rPr>
          <w:rFonts w:ascii="Segoe UI" w:hAnsi="Segoe UI"/>
          <w:b/>
          <w:color w:val="1A1D21"/>
          <w:sz w:val="50"/>
        </w:rPr>
        <w:t>Analytics Metrics</w:t>
      </w:r>
    </w:p>
    <w:p>
      <w:pPr>
        <w:spacing w:before="160" w:after="200"/>
      </w:pPr>
      <w:r>
        <w:rPr>
          <w:color w:val="5F6B76"/>
          <w:sz w:val="23"/>
        </w:rPr>
        <w:t>Returns the call-centre analytics the dashboard's Analytics tab displays — headline KPIs, live and peak concurrency, turn latency, and the time series behind the charts — for a chosen time window and call direction.</w:t>
      </w:r>
    </w:p>
    <w:tbl>
      <w:tblPr>
        <w:tblW w:type="auto" w:w="0"/>
        <w:tblLayout w:type="fixed"/>
        <w:tblLook w:firstColumn="1" w:firstRow="1" w:lastColumn="0" w:lastRow="0" w:noHBand="0" w:noVBand="1" w:val="04A0"/>
      </w:tblPr>
      <w:tblGrid>
        <w:gridCol w:w="3264"/>
        <w:gridCol w:w="3264"/>
        <w:gridCol w:w="3264"/>
      </w:tblGrid>
      <w:tr>
        <w:tc>
          <w:tcPr>
            <w:tcW w:type="dxa" w:w="893"/>
            <w:shd w:val="clear" w:fill="5F6B76"/>
            <w:tcBorders>
              <w:top w:val="nil"/>
              <w:left w:val="nil"/>
              <w:bottom w:val="nil"/>
              <w:right w:val="nil"/>
            </w:tcBorders>
            <w:tcMar>
              <w:top w:w="70" w:type="dxa"/>
              <w:start w:w="90" w:type="dxa"/>
              <w:bottom w:w="70" w:type="dxa"/>
              <w:end w:w="90" w:type="dxa"/>
            </w:tcMar>
          </w:tcPr>
          <w:p>
            <w:pPr>
              <w:jc w:val="center"/>
            </w:pPr>
            <w:r>
              <w:rPr>
                <w:rFonts w:ascii="Consolas" w:hAnsi="Consolas"/>
                <w:b/>
                <w:color w:val="FFFFFF"/>
                <w:sz w:val="21"/>
              </w:rPr>
              <w:t>GET</w:t>
            </w:r>
          </w:p>
        </w:tc>
        <w:tc>
          <w:tcPr>
            <w:tcW w:type="dxa" w:w="5760"/>
            <w:tcBorders>
              <w:top w:val="nil"/>
              <w:left w:val="nil"/>
              <w:bottom w:val="nil"/>
              <w:right w:val="nil"/>
            </w:tcBorders>
            <w:tcMar>
              <w:top w:w="70" w:type="dxa"/>
              <w:start w:w="90" w:type="dxa"/>
              <w:bottom w:w="70" w:type="dxa"/>
              <w:end w:w="90" w:type="dxa"/>
            </w:tcMar>
          </w:tcPr>
          <w:p>
            <w:r>
              <w:rPr>
                <w:rFonts w:ascii="Consolas" w:hAnsi="Consolas"/>
                <w:b/>
                <w:color w:val="1A1D21"/>
                <w:sz w:val="28"/>
              </w:rPr>
              <w:t>/api/v1/analytics/metrics</w:t>
            </w:r>
          </w:p>
        </w:tc>
        <w:tc>
          <w:tcPr>
            <w:tcW w:type="dxa" w:w="2880"/>
            <w:tcBorders>
              <w:top w:val="nil"/>
              <w:left w:val="nil"/>
              <w:bottom w:val="nil"/>
              <w:right w:val="nil"/>
            </w:tcBorders>
            <w:tcMar>
              <w:top w:w="70" w:type="dxa"/>
              <w:start w:w="90" w:type="dxa"/>
              <w:bottom w:w="70" w:type="dxa"/>
              <w:end w:w="90" w:type="dxa"/>
            </w:tcMar>
          </w:tcPr>
          <w:p>
            <w:pPr>
              <w:jc w:val="right"/>
            </w:pPr>
            <w:r>
              <w:rPr>
                <w:rFonts w:ascii="Consolas" w:hAnsi="Consolas"/>
                <w:color w:val="5F6B76"/>
                <w:sz w:val="19"/>
              </w:rPr>
              <w:t>any valid key</w:t>
            </w:r>
          </w:p>
        </w:tc>
      </w:tr>
    </w:tbl>
    <w:p>
      <w:pPr>
        <w:spacing w:after="0"/>
      </w:pPr>
    </w:p>
    <w:p>
      <w:pPr>
        <w:spacing w:after="120"/>
      </w:pPr>
      <w:r>
        <w:rPr>
          <w:b/>
          <w:color w:val="5F6B76"/>
          <w:sz w:val="22"/>
        </w:rPr>
        <w:t xml:space="preserve">Note:  </w:t>
      </w:r>
      <w:r>
        <w:rPr>
          <w:color w:val="5F6B76"/>
          <w:sz w:val="22"/>
        </w:rPr>
        <w:t>All examples use the deployed host. For local testing, swap the base URL for http://localhost:5050.</w:t>
      </w:r>
    </w:p>
    <w:p>
      <w:pPr>
        <w:spacing w:before="300" w:after="100"/>
        <w:pBdr>
          <w:bottom w:val="single" w:sz="6" w:space="4" w:color="D6DCE2"/>
        </w:pBdr>
        <w:keepNext/>
      </w:pPr>
      <w:r>
        <w:rPr>
          <w:rFonts w:ascii="Segoe UI" w:hAnsi="Segoe UI"/>
          <w:b/>
          <w:color w:val="1F6FB2"/>
          <w:sz w:val="20"/>
          <w:spacing w:val="26"/>
        </w:rPr>
        <w:t>ENDPOINT</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440"/>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METHOD</w:t>
            </w:r>
          </w:p>
        </w:tc>
        <w:tc>
          <w:tcPr>
            <w:tcW w:type="dxa" w:w="4032"/>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PATH</w:t>
            </w:r>
          </w:p>
        </w:tc>
        <w:tc>
          <w:tcPr>
            <w:tcW w:type="dxa" w:w="4032"/>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BASE URL</w:t>
            </w:r>
          </w:p>
        </w:tc>
      </w:tr>
      <w:tr>
        <w:tc>
          <w:tcPr>
            <w:tcW w:type="dxa" w:w="1440"/>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GET</w:t>
            </w:r>
          </w:p>
        </w:tc>
        <w:tc>
          <w:tcPr>
            <w:tcW w:type="dxa" w:w="4032"/>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/api/v1/analytics/metrics</w:t>
            </w:r>
          </w:p>
        </w:tc>
        <w:tc>
          <w:tcPr>
            <w:tcW w:type="dxa" w:w="4032"/>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sz w:val="18"/>
              </w:rPr>
              <w:t>https://bankingvoicebot.nl-demo.com</w:t>
            </w:r>
          </w:p>
        </w:tc>
      </w:tr>
    </w:tbl>
    <w:p>
      <w:pPr>
        <w:spacing w:after="0"/>
      </w:pPr>
    </w:p>
    <w:p>
      <w:pPr>
        <w:spacing w:before="300" w:after="100"/>
        <w:pBdr>
          <w:bottom w:val="single" w:sz="6" w:space="4" w:color="D6DCE2"/>
        </w:pBdr>
        <w:keepNext/>
      </w:pPr>
      <w:r>
        <w:rPr>
          <w:rFonts w:ascii="Segoe UI" w:hAnsi="Segoe UI"/>
          <w:b/>
          <w:color w:val="1F6FB2"/>
          <w:sz w:val="20"/>
          <w:spacing w:val="26"/>
        </w:rPr>
        <w:t>HEADERS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800"/>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HEADER</w:t>
            </w:r>
          </w:p>
        </w:tc>
        <w:tc>
          <w:tcPr>
            <w:tcW w:type="dxa" w:w="1080"/>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REQUIRED</w:t>
            </w:r>
          </w:p>
        </w:tc>
        <w:tc>
          <w:tcPr>
            <w:tcW w:type="dxa" w:w="6624"/>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DESCRIPTION</w:t>
            </w:r>
          </w:p>
        </w:tc>
      </w:tr>
      <w:tr>
        <w:tc>
          <w:tcPr>
            <w:tcW w:type="dxa" w:w="1800"/>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X-API-Key</w:t>
            </w:r>
          </w:p>
        </w:tc>
        <w:tc>
          <w:tcPr>
            <w:tcW w:type="dxa" w:w="1080"/>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Yes</w:t>
            </w:r>
          </w:p>
        </w:tc>
        <w:tc>
          <w:tcPr>
            <w:tcW w:type="dxa" w:w="6624"/>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 xml:space="preserve">Integration API key issued by the dashboard service. Requests without this header return </w:t>
            </w:r>
            <w:r>
              <w:rPr>
                <w:rFonts w:ascii="Consolas" w:hAnsi="Consolas"/>
                <w:b w:val="0"/>
                <w:sz w:val="18"/>
              </w:rPr>
              <w:t>401</w:t>
            </w:r>
            <w:r>
              <w:rPr>
                <w:b w:val="0"/>
                <w:sz w:val="20"/>
              </w:rPr>
              <w:t>.</w:t>
            </w:r>
          </w:p>
        </w:tc>
      </w:tr>
      <w:tr>
        <w:tc>
          <w:tcPr>
            <w:tcW w:type="dxa" w:w="1800"/>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Accept</w:t>
            </w:r>
          </w:p>
        </w:tc>
        <w:tc>
          <w:tcPr>
            <w:tcW w:type="dxa" w:w="1080"/>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No</w:t>
            </w:r>
          </w:p>
        </w:tc>
        <w:tc>
          <w:tcPr>
            <w:tcW w:type="dxa" w:w="662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 xml:space="preserve">Standard HTTP content negotiation. The endpoint always responds with </w:t>
            </w:r>
            <w:r>
              <w:rPr>
                <w:rFonts w:ascii="Consolas" w:hAnsi="Consolas"/>
                <w:b w:val="0"/>
                <w:sz w:val="18"/>
              </w:rPr>
              <w:t>application/json</w:t>
            </w:r>
            <w:r>
              <w:rPr>
                <w:b w:val="0"/>
                <w:sz w:val="20"/>
              </w:rPr>
              <w:t>.</w:t>
            </w:r>
          </w:p>
        </w:tc>
      </w:tr>
    </w:tbl>
    <w:p>
      <w:pPr>
        <w:spacing w:after="0"/>
      </w:pPr>
    </w:p>
    <w:p>
      <w:pPr>
        <w:spacing w:before="300" w:after="100"/>
        <w:pBdr>
          <w:bottom w:val="single" w:sz="6" w:space="4" w:color="D6DCE2"/>
        </w:pBdr>
        <w:keepNext/>
      </w:pPr>
      <w:r>
        <w:rPr>
          <w:rFonts w:ascii="Segoe UI" w:hAnsi="Segoe UI"/>
          <w:b/>
          <w:color w:val="1F6FB2"/>
          <w:sz w:val="20"/>
          <w:spacing w:val="26"/>
        </w:rPr>
        <w:t>QUERY PARAMETERS</w:t>
      </w:r>
    </w:p>
    <w:tbl>
      <w:tblPr>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1656"/>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NAME</w:t>
            </w:r>
          </w:p>
        </w:tc>
        <w:tc>
          <w:tcPr>
            <w:tcW w:type="dxa" w:w="1037"/>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TYPE</w:t>
            </w:r>
          </w:p>
        </w:tc>
        <w:tc>
          <w:tcPr>
            <w:tcW w:type="dxa" w:w="1195"/>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DEFAULT</w:t>
            </w:r>
          </w:p>
        </w:tc>
        <w:tc>
          <w:tcPr>
            <w:tcW w:type="dxa" w:w="5688"/>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DESCRIPTION</w:t>
            </w:r>
          </w:p>
        </w:tc>
      </w:tr>
      <w:tr>
        <w:tc>
          <w:tcPr>
            <w:tcW w:type="dxa" w:w="165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window</w:t>
            </w:r>
          </w:p>
        </w:tc>
        <w:tc>
          <w:tcPr>
            <w:tcW w:type="dxa" w:w="1037"/>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string</w:t>
            </w:r>
          </w:p>
        </w:tc>
        <w:tc>
          <w:tcPr>
            <w:tcW w:type="dxa" w:w="1195"/>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all time</w:t>
            </w:r>
          </w:p>
        </w:tc>
        <w:tc>
          <w:tcPr>
            <w:tcW w:type="dxa" w:w="5688"/>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 xml:space="preserve">Time range, matching the dashboard's range picker: </w:t>
            </w:r>
            <w:r>
              <w:rPr>
                <w:rFonts w:ascii="Consolas" w:hAnsi="Consolas"/>
                <w:b w:val="0"/>
                <w:sz w:val="18"/>
              </w:rPr>
              <w:t>1h</w:t>
            </w:r>
            <w:r>
              <w:rPr>
                <w:b w:val="0"/>
                <w:sz w:val="20"/>
              </w:rPr>
              <w:t xml:space="preserve">, </w:t>
            </w:r>
            <w:r>
              <w:rPr>
                <w:rFonts w:ascii="Consolas" w:hAnsi="Consolas"/>
                <w:b w:val="0"/>
                <w:sz w:val="18"/>
              </w:rPr>
              <w:t>6h</w:t>
            </w:r>
            <w:r>
              <w:rPr>
                <w:b w:val="0"/>
                <w:sz w:val="20"/>
              </w:rPr>
              <w:t xml:space="preserve">, </w:t>
            </w:r>
            <w:r>
              <w:rPr>
                <w:rFonts w:ascii="Consolas" w:hAnsi="Consolas"/>
                <w:b w:val="0"/>
                <w:sz w:val="18"/>
              </w:rPr>
              <w:t>12h</w:t>
            </w:r>
            <w:r>
              <w:rPr>
                <w:b w:val="0"/>
                <w:sz w:val="20"/>
              </w:rPr>
              <w:t xml:space="preserve">, </w:t>
            </w:r>
            <w:r>
              <w:rPr>
                <w:rFonts w:ascii="Consolas" w:hAnsi="Consolas"/>
                <w:b w:val="0"/>
                <w:sz w:val="18"/>
              </w:rPr>
              <w:t>24h</w:t>
            </w:r>
            <w:r>
              <w:rPr>
                <w:b w:val="0"/>
                <w:sz w:val="20"/>
              </w:rPr>
              <w:t xml:space="preserve">, </w:t>
            </w:r>
            <w:r>
              <w:rPr>
                <w:rFonts w:ascii="Consolas" w:hAnsi="Consolas"/>
                <w:b w:val="0"/>
                <w:sz w:val="18"/>
              </w:rPr>
              <w:t>7d</w:t>
            </w:r>
            <w:r>
              <w:rPr>
                <w:b w:val="0"/>
                <w:sz w:val="20"/>
              </w:rPr>
              <w:t xml:space="preserve"> or </w:t>
            </w:r>
            <w:r>
              <w:rPr>
                <w:rFonts w:ascii="Consolas" w:hAnsi="Consolas"/>
                <w:b w:val="0"/>
                <w:sz w:val="18"/>
              </w:rPr>
              <w:t>30d</w:t>
            </w:r>
            <w:r>
              <w:rPr>
                <w:b w:val="0"/>
                <w:sz w:val="20"/>
              </w:rPr>
              <w:t xml:space="preserve">. Takes precedence over </w:t>
            </w:r>
            <w:r>
              <w:rPr>
                <w:rFonts w:ascii="Consolas" w:hAnsi="Consolas"/>
                <w:b w:val="0"/>
                <w:sz w:val="18"/>
              </w:rPr>
              <w:t>date_from</w:t>
            </w:r>
            <w:r>
              <w:rPr>
                <w:b w:val="0"/>
                <w:sz w:val="20"/>
              </w:rPr>
              <w:t xml:space="preserve"> / </w:t>
            </w:r>
            <w:r>
              <w:rPr>
                <w:rFonts w:ascii="Consolas" w:hAnsi="Consolas"/>
                <w:b w:val="0"/>
                <w:sz w:val="18"/>
              </w:rPr>
              <w:t>date_to</w:t>
            </w:r>
            <w:r>
              <w:rPr>
                <w:b w:val="0"/>
                <w:sz w:val="20"/>
              </w:rPr>
              <w:t>.</w:t>
            </w:r>
          </w:p>
        </w:tc>
      </w:tr>
      <w:tr>
        <w:tc>
          <w:tcPr>
            <w:tcW w:type="dxa" w:w="165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direction</w:t>
            </w:r>
          </w:p>
        </w:tc>
        <w:tc>
          <w:tcPr>
            <w:tcW w:type="dxa" w:w="1037"/>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string</w:t>
            </w:r>
          </w:p>
        </w:tc>
        <w:tc>
          <w:tcPr>
            <w:tcW w:type="dxa" w:w="1195"/>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both</w:t>
            </w:r>
          </w:p>
        </w:tc>
        <w:tc>
          <w:tcPr>
            <w:tcW w:type="dxa" w:w="5688"/>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sz w:val="18"/>
              </w:rPr>
              <w:t>inbound</w:t>
            </w:r>
            <w:r>
              <w:rPr>
                <w:b w:val="0"/>
                <w:sz w:val="20"/>
              </w:rPr>
              <w:t xml:space="preserve"> (customer called in) or </w:t>
            </w:r>
            <w:r>
              <w:rPr>
                <w:rFonts w:ascii="Consolas" w:hAnsi="Consolas"/>
                <w:b w:val="0"/>
                <w:sz w:val="18"/>
              </w:rPr>
              <w:t>outbound</w:t>
            </w:r>
            <w:r>
              <w:rPr>
                <w:b w:val="0"/>
                <w:sz w:val="20"/>
              </w:rPr>
              <w:t xml:space="preserve"> (the platform called the customer). Any other value is ignored and both are returned.</w:t>
            </w:r>
          </w:p>
        </w:tc>
      </w:tr>
      <w:tr>
        <w:tc>
          <w:tcPr>
            <w:tcW w:type="dxa" w:w="165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date_from</w:t>
            </w:r>
          </w:p>
        </w:tc>
        <w:tc>
          <w:tcPr>
            <w:tcW w:type="dxa" w:w="1037"/>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string</w:t>
            </w:r>
          </w:p>
        </w:tc>
        <w:tc>
          <w:tcPr>
            <w:tcW w:type="dxa" w:w="1195"/>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all time</w:t>
            </w:r>
          </w:p>
        </w:tc>
        <w:tc>
          <w:tcPr>
            <w:tcW w:type="dxa" w:w="5688"/>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 xml:space="preserve">Inclusive start date, </w:t>
            </w:r>
            <w:r>
              <w:rPr>
                <w:rFonts w:ascii="Consolas" w:hAnsi="Consolas"/>
                <w:b w:val="0"/>
                <w:sz w:val="18"/>
              </w:rPr>
              <w:t>YYYY-MM-DD</w:t>
            </w:r>
            <w:r>
              <w:rPr>
                <w:b w:val="0"/>
                <w:sz w:val="20"/>
              </w:rPr>
              <w:t xml:space="preserve">, used when </w:t>
            </w:r>
            <w:r>
              <w:rPr>
                <w:rFonts w:ascii="Consolas" w:hAnsi="Consolas"/>
                <w:b w:val="0"/>
                <w:sz w:val="18"/>
              </w:rPr>
              <w:t>window</w:t>
            </w:r>
            <w:r>
              <w:rPr>
                <w:b w:val="0"/>
                <w:sz w:val="20"/>
              </w:rPr>
              <w:t xml:space="preserve"> is not supplied. Read in the display timezone (Asia/Kolkata by default), not UTC. An invalid format returns </w:t>
            </w:r>
            <w:r>
              <w:rPr>
                <w:rFonts w:ascii="Consolas" w:hAnsi="Consolas"/>
                <w:b w:val="0"/>
                <w:sz w:val="18"/>
              </w:rPr>
              <w:t>400</w:t>
            </w:r>
            <w:r>
              <w:rPr>
                <w:b w:val="0"/>
                <w:sz w:val="20"/>
              </w:rPr>
              <w:t>.</w:t>
            </w:r>
          </w:p>
        </w:tc>
      </w:tr>
      <w:tr>
        <w:tc>
          <w:tcPr>
            <w:tcW w:type="dxa" w:w="165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date_to</w:t>
            </w:r>
          </w:p>
        </w:tc>
        <w:tc>
          <w:tcPr>
            <w:tcW w:type="dxa" w:w="1037"/>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string</w:t>
            </w:r>
          </w:p>
        </w:tc>
        <w:tc>
          <w:tcPr>
            <w:tcW w:type="dxa" w:w="1195"/>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all time</w:t>
            </w:r>
          </w:p>
        </w:tc>
        <w:tc>
          <w:tcPr>
            <w:tcW w:type="dxa" w:w="5688"/>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 xml:space="preserve">Inclusive end date, </w:t>
            </w:r>
            <w:r>
              <w:rPr>
                <w:rFonts w:ascii="Consolas" w:hAnsi="Consolas"/>
                <w:b w:val="0"/>
                <w:sz w:val="18"/>
              </w:rPr>
              <w:t>YYYY-MM-DD</w:t>
            </w:r>
            <w:r>
              <w:rPr>
                <w:b w:val="0"/>
                <w:sz w:val="20"/>
              </w:rPr>
              <w:t xml:space="preserve">. Applied as </w:t>
            </w:r>
            <w:r>
              <w:rPr>
                <w:rFonts w:ascii="Consolas" w:hAnsi="Consolas"/>
                <w:b w:val="0"/>
                <w:sz w:val="18"/>
              </w:rPr>
              <w:t>&lt; date_to + 1 day</w:t>
            </w:r>
            <w:r>
              <w:rPr>
                <w:b w:val="0"/>
                <w:sz w:val="20"/>
              </w:rPr>
              <w:t xml:space="preserve"> so the whole end day is included.</w:t>
            </w:r>
          </w:p>
        </w:tc>
      </w:tr>
    </w:tbl>
    <w:p>
      <w:pPr>
        <w:spacing w:after="0"/>
      </w:pPr>
    </w:p>
    <w:tbl>
      <w:tblPr>
        <w:tblW w:type="auto" w:w="0"/>
        <w:tblLayout w:type="fixed"/>
        <w:tblLook w:firstColumn="1" w:firstRow="1" w:lastColumn="0" w:lastRow="0" w:noHBand="0" w:noVBand="1" w:val="04A0"/>
      </w:tblPr>
      <w:tblGrid>
        <w:gridCol w:w="9792"/>
      </w:tblGrid>
      <w:tr>
        <w:tc>
          <w:tcPr>
            <w:tcW w:type="dxa" w:w="9504"/>
            <w:shd w:val="clear" w:fill="EDF2F7"/>
            <w:tcBorders>
              <w:top w:val="nil"/>
              <w:left w:val="single" w:sz="14" w:space="0" w:color="1F6FB2"/>
              <w:bottom w:val="nil"/>
              <w:right w:val="nil"/>
            </w:tcBorders>
            <w:tcMar>
              <w:top w:w="110" w:type="dxa"/>
              <w:start w:w="150" w:type="dxa"/>
              <w:bottom w:w="110" w:type="dxa"/>
              <w:end w:w="130" w:type="dxa"/>
            </w:tcMar>
          </w:tcPr>
          <w:p>
            <w:pPr>
              <w:spacing w:after="0"/>
            </w:pPr>
            <w:r/>
            <w:r>
              <w:rPr>
                <w:b/>
                <w:color w:val="1F6FB2"/>
                <w:sz w:val="21"/>
              </w:rPr>
              <w:t xml:space="preserve">Two different totals  </w:t>
            </w:r>
            <w:r>
              <w:rPr>
                <w:rFonts w:ascii="Consolas" w:hAnsi="Consolas"/>
                <w:color w:val="1A1D21"/>
                <w:sz w:val="19"/>
              </w:rPr>
              <w:t>metrics.total_calls</w:t>
            </w:r>
            <w:r>
              <w:rPr>
                <w:color w:val="1A1D21"/>
                <w:sz w:val="21"/>
              </w:rPr>
              <w:t xml:space="preserve"> counts COMPLETED calls — the basis for every rate and average below it. </w:t>
            </w:r>
            <w:r>
              <w:rPr>
                <w:rFonts w:ascii="Consolas" w:hAnsi="Consolas"/>
                <w:color w:val="1A1D21"/>
                <w:sz w:val="19"/>
              </w:rPr>
              <w:t>metrics.calls_in_window</w:t>
            </w:r>
            <w:r>
              <w:rPr>
                <w:color w:val="1A1D21"/>
                <w:sz w:val="21"/>
              </w:rPr>
              <w:t xml:space="preserve"> counts every call that started in the window whatever its outcome, and is the figure the dashboard's Total calls tile shows. They differ by the calls that were never answered or are still running.</w:t>
            </w:r>
          </w:p>
        </w:tc>
      </w:tr>
    </w:tbl>
    <w:p>
      <w:pPr>
        <w:spacing w:after="0"/>
      </w:pPr>
    </w:p>
    <w:p>
      <w:pPr>
        <w:spacing w:before="160" w:after="40"/>
        <w:keepNext/>
      </w:pPr>
      <w:r>
        <w:rPr>
          <w:rFonts w:ascii="Segoe UI" w:hAnsi="Segoe UI"/>
          <w:b/>
          <w:color w:val="5F6B76"/>
          <w:sz w:val="19"/>
          <w:spacing w:val="16"/>
        </w:rPr>
        <w:t>cURL — LAST 24 HOURS</w:t>
      </w:r>
    </w:p>
    <w:tbl>
      <w:tblPr>
        <w:tblW w:type="auto" w:w="0"/>
        <w:tblLayout w:type="fixed"/>
        <w:tblLook w:firstColumn="1" w:firstRow="1" w:lastColumn="0" w:lastRow="0" w:noHBand="0" w:noVBand="1" w:val="04A0"/>
      </w:tblPr>
      <w:tblGrid>
        <w:gridCol w:w="9792"/>
      </w:tblGrid>
      <w:tr>
        <w:tc>
          <w:tcPr>
            <w:tcW w:type="dxa" w:w="9504"/>
            <w:shd w:val="clear" w:fill="F3F5F7"/>
            <w:tcBorders>
              <w:top w:val="nil"/>
              <w:left w:val="single" w:sz="14" w:space="0" w:color="1B4570"/>
              <w:bottom w:val="nil"/>
              <w:right w:val="nil"/>
            </w:tcBorders>
            <w:tcMar>
              <w:top w:w="110" w:type="dxa"/>
              <w:start w:w="160" w:type="dxa"/>
              <w:bottom w:w="110" w:type="dxa"/>
              <w:end w:w="120" w:type="dxa"/>
            </w:tcMar>
          </w:tcPr>
          <w:p>
            <w:pPr>
              <w:spacing w:after="0" w:line="269" w:lineRule="auto"/>
            </w:pPr>
            <w:r/>
            <w:r>
              <w:rPr>
                <w:rFonts w:ascii="Consolas" w:hAnsi="Consolas"/>
                <w:color w:val="1A1D21"/>
                <w:sz w:val="18"/>
              </w:rPr>
              <w:t>curl -G "https://bankingvoicebot.nl-demo.com/api/v1/analytics/metrics" \</w:t>
            </w:r>
            <w:r>
              <w:rPr>
                <w:rFonts w:ascii="Consolas" w:hAnsi="Consolas"/>
                <w:color w:val="1A1D21"/>
                <w:sz w:val="18"/>
              </w:rPr>
              <w:br/>
              <w:t xml:space="preserve">  -H "X-API-Key: $VOICEBOT_API_KEY" \</w:t>
            </w:r>
            <w:r>
              <w:rPr>
                <w:rFonts w:ascii="Consolas" w:hAnsi="Consolas"/>
                <w:color w:val="1A1D21"/>
                <w:sz w:val="18"/>
              </w:rPr>
              <w:br/>
              <w:t xml:space="preserve">  --data-urlencode "window=24h"</w:t>
            </w:r>
          </w:p>
        </w:tc>
      </w:tr>
    </w:tbl>
    <w:p>
      <w:pPr>
        <w:spacing w:after="0"/>
      </w:pPr>
    </w:p>
    <w:p>
      <w:pPr>
        <w:spacing w:before="160" w:after="40"/>
        <w:keepNext/>
      </w:pPr>
      <w:r>
        <w:rPr>
          <w:rFonts w:ascii="Segoe UI" w:hAnsi="Segoe UI"/>
          <w:b/>
          <w:color w:val="5F6B76"/>
          <w:sz w:val="19"/>
          <w:spacing w:val="16"/>
        </w:rPr>
        <w:t>cURL — INBOUND CALLS, LAST 7 DAYS</w:t>
      </w:r>
    </w:p>
    <w:tbl>
      <w:tblPr>
        <w:tblW w:type="auto" w:w="0"/>
        <w:tblLayout w:type="fixed"/>
        <w:tblLook w:firstColumn="1" w:firstRow="1" w:lastColumn="0" w:lastRow="0" w:noHBand="0" w:noVBand="1" w:val="04A0"/>
      </w:tblPr>
      <w:tblGrid>
        <w:gridCol w:w="9792"/>
      </w:tblGrid>
      <w:tr>
        <w:tc>
          <w:tcPr>
            <w:tcW w:type="dxa" w:w="9504"/>
            <w:shd w:val="clear" w:fill="F3F5F7"/>
            <w:tcBorders>
              <w:top w:val="nil"/>
              <w:left w:val="single" w:sz="14" w:space="0" w:color="1B4570"/>
              <w:bottom w:val="nil"/>
              <w:right w:val="nil"/>
            </w:tcBorders>
            <w:tcMar>
              <w:top w:w="110" w:type="dxa"/>
              <w:start w:w="160" w:type="dxa"/>
              <w:bottom w:w="110" w:type="dxa"/>
              <w:end w:w="120" w:type="dxa"/>
            </w:tcMar>
          </w:tcPr>
          <w:p>
            <w:pPr>
              <w:spacing w:after="0" w:line="269" w:lineRule="auto"/>
            </w:pPr>
            <w:r/>
            <w:r>
              <w:rPr>
                <w:rFonts w:ascii="Consolas" w:hAnsi="Consolas"/>
                <w:color w:val="1A1D21"/>
                <w:sz w:val="18"/>
              </w:rPr>
              <w:t>curl -G "https://bankingvoicebot.nl-demo.com/api/v1/analytics/metrics" \</w:t>
            </w:r>
            <w:r>
              <w:rPr>
                <w:rFonts w:ascii="Consolas" w:hAnsi="Consolas"/>
                <w:color w:val="1A1D21"/>
                <w:sz w:val="18"/>
              </w:rPr>
              <w:br/>
              <w:t xml:space="preserve">  -H "X-API-Key: $VOICEBOT_API_KEY" \</w:t>
            </w:r>
            <w:r>
              <w:rPr>
                <w:rFonts w:ascii="Consolas" w:hAnsi="Consolas"/>
                <w:color w:val="1A1D21"/>
                <w:sz w:val="18"/>
              </w:rPr>
              <w:br/>
              <w:t xml:space="preserve">  --data-urlencode "window=7d" \</w:t>
            </w:r>
            <w:r>
              <w:rPr>
                <w:rFonts w:ascii="Consolas" w:hAnsi="Consolas"/>
                <w:color w:val="1A1D21"/>
                <w:sz w:val="18"/>
              </w:rPr>
              <w:br/>
              <w:t xml:space="preserve">  --data-urlencode "direction=inbound"</w:t>
            </w:r>
          </w:p>
        </w:tc>
      </w:tr>
    </w:tbl>
    <w:p>
      <w:pPr>
        <w:spacing w:after="0"/>
      </w:pPr>
    </w:p>
    <w:p>
      <w:pPr>
        <w:spacing w:before="160" w:after="40"/>
        <w:keepNext/>
      </w:pPr>
      <w:r>
        <w:rPr>
          <w:rFonts w:ascii="Segoe UI" w:hAnsi="Segoe UI"/>
          <w:b/>
          <w:color w:val="5F6B76"/>
          <w:sz w:val="19"/>
          <w:spacing w:val="16"/>
        </w:rPr>
        <w:t>cURL — EXPLICIT DATE RANGE</w:t>
      </w:r>
    </w:p>
    <w:tbl>
      <w:tblPr>
        <w:tblW w:type="auto" w:w="0"/>
        <w:tblLayout w:type="fixed"/>
        <w:tblLook w:firstColumn="1" w:firstRow="1" w:lastColumn="0" w:lastRow="0" w:noHBand="0" w:noVBand="1" w:val="04A0"/>
      </w:tblPr>
      <w:tblGrid>
        <w:gridCol w:w="9792"/>
      </w:tblGrid>
      <w:tr>
        <w:tc>
          <w:tcPr>
            <w:tcW w:type="dxa" w:w="9504"/>
            <w:shd w:val="clear" w:fill="F3F5F7"/>
            <w:tcBorders>
              <w:top w:val="nil"/>
              <w:left w:val="single" w:sz="14" w:space="0" w:color="1B4570"/>
              <w:bottom w:val="nil"/>
              <w:right w:val="nil"/>
            </w:tcBorders>
            <w:tcMar>
              <w:top w:w="110" w:type="dxa"/>
              <w:start w:w="160" w:type="dxa"/>
              <w:bottom w:w="110" w:type="dxa"/>
              <w:end w:w="120" w:type="dxa"/>
            </w:tcMar>
          </w:tcPr>
          <w:p>
            <w:pPr>
              <w:spacing w:after="0" w:line="269" w:lineRule="auto"/>
            </w:pPr>
            <w:r/>
            <w:r>
              <w:rPr>
                <w:rFonts w:ascii="Consolas" w:hAnsi="Consolas"/>
                <w:color w:val="1A1D21"/>
                <w:sz w:val="18"/>
              </w:rPr>
              <w:t>curl -G "https://bankingvoicebot.nl-demo.com/api/v1/analytics/metrics" \</w:t>
            </w:r>
            <w:r>
              <w:rPr>
                <w:rFonts w:ascii="Consolas" w:hAnsi="Consolas"/>
                <w:color w:val="1A1D21"/>
                <w:sz w:val="18"/>
              </w:rPr>
              <w:br/>
              <w:t xml:space="preserve">  -H "X-API-Key: $VOICEBOT_API_KEY" \</w:t>
            </w:r>
            <w:r>
              <w:rPr>
                <w:rFonts w:ascii="Consolas" w:hAnsi="Consolas"/>
                <w:color w:val="1A1D21"/>
                <w:sz w:val="18"/>
              </w:rPr>
              <w:br/>
              <w:t xml:space="preserve">  --data-urlencode "date_from=2026-09-01" \</w:t>
            </w:r>
            <w:r>
              <w:rPr>
                <w:rFonts w:ascii="Consolas" w:hAnsi="Consolas"/>
                <w:color w:val="1A1D21"/>
                <w:sz w:val="18"/>
              </w:rPr>
              <w:br/>
              <w:t xml:space="preserve">  --data-urlencode "date_to=2026-09-24"</w:t>
            </w:r>
          </w:p>
        </w:tc>
      </w:tr>
    </w:tbl>
    <w:p>
      <w:pPr>
        <w:spacing w:after="0"/>
      </w:pPr>
    </w:p>
    <w:p>
      <w:pPr>
        <w:spacing w:before="300" w:after="100"/>
        <w:pBdr>
          <w:bottom w:val="single" w:sz="6" w:space="4" w:color="D6DCE2"/>
        </w:pBdr>
        <w:keepNext/>
      </w:pPr>
      <w:r>
        <w:rPr>
          <w:rFonts w:ascii="Segoe UI" w:hAnsi="Segoe UI"/>
          <w:b/>
          <w:color w:val="1F6FB2"/>
          <w:sz w:val="20"/>
          <w:spacing w:val="26"/>
        </w:rPr>
        <w:t>RESPONSE — FILTERS</w:t>
      </w:r>
    </w:p>
    <w:p>
      <w:pPr>
        <w:spacing w:after="120"/>
      </w:pPr>
      <w:r>
        <w:rPr>
          <w:color w:val="5F6B76"/>
          <w:sz w:val="20"/>
        </w:rPr>
        <w:t xml:space="preserve">Echoes back what the server actually applied, so you can confirm a value was accepted — an unrecognised </w:t>
      </w:r>
      <w:r>
        <w:rPr>
          <w:rFonts w:ascii="Consolas" w:hAnsi="Consolas"/>
          <w:color w:val="5F6B76"/>
          <w:sz w:val="18"/>
        </w:rPr>
        <w:t>direction</w:t>
      </w:r>
      <w:r>
        <w:rPr>
          <w:color w:val="5F6B76"/>
          <w:sz w:val="20"/>
        </w:rPr>
        <w:t xml:space="preserve">, for example, comes back as </w:t>
      </w:r>
      <w:r>
        <w:rPr>
          <w:rFonts w:ascii="Consolas" w:hAnsi="Consolas"/>
          <w:color w:val="5F6B76"/>
          <w:sz w:val="18"/>
        </w:rPr>
        <w:t>null</w:t>
      </w:r>
      <w:r>
        <w:rPr>
          <w:color w:val="5F6B76"/>
          <w:sz w:val="20"/>
        </w:rPr>
        <w:t>.</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2304"/>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FIELD</w:t>
            </w:r>
          </w:p>
        </w:tc>
        <w:tc>
          <w:tcPr>
            <w:tcW w:type="dxa" w:w="1584"/>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TYPE</w:t>
            </w:r>
          </w:p>
        </w:tc>
        <w:tc>
          <w:tcPr>
            <w:tcW w:type="dxa" w:w="5616"/>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DESCRIPTION</w:t>
            </w:r>
          </w:p>
        </w:tc>
      </w:tr>
      <w:tr>
        <w:tc>
          <w:tcPr>
            <w:tcW w:type="dxa" w:w="230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filters.window</w:t>
            </w:r>
          </w:p>
        </w:tc>
        <w:tc>
          <w:tcPr>
            <w:tcW w:type="dxa" w:w="158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string | null</w:t>
            </w:r>
          </w:p>
        </w:tc>
        <w:tc>
          <w:tcPr>
            <w:tcW w:type="dxa" w:w="5616"/>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The window applied, normalised to lower case.</w:t>
            </w:r>
          </w:p>
        </w:tc>
      </w:tr>
      <w:tr>
        <w:tc>
          <w:tcPr>
            <w:tcW w:type="dxa" w:w="230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filters.direction</w:t>
            </w:r>
          </w:p>
        </w:tc>
        <w:tc>
          <w:tcPr>
            <w:tcW w:type="dxa" w:w="158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string | null</w:t>
            </w:r>
          </w:p>
        </w:tc>
        <w:tc>
          <w:tcPr>
            <w:tcW w:type="dxa" w:w="561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sz w:val="18"/>
              </w:rPr>
              <w:t>inbound</w:t>
            </w:r>
            <w:r>
              <w:rPr>
                <w:b w:val="0"/>
                <w:sz w:val="20"/>
              </w:rPr>
              <w:t xml:space="preserve">, </w:t>
            </w:r>
            <w:r>
              <w:rPr>
                <w:rFonts w:ascii="Consolas" w:hAnsi="Consolas"/>
                <w:b w:val="0"/>
                <w:sz w:val="18"/>
              </w:rPr>
              <w:t>outbound</w:t>
            </w:r>
            <w:r>
              <w:rPr>
                <w:b w:val="0"/>
                <w:sz w:val="20"/>
              </w:rPr>
              <w:t xml:space="preserve">, or </w:t>
            </w:r>
            <w:r>
              <w:rPr>
                <w:rFonts w:ascii="Consolas" w:hAnsi="Consolas"/>
                <w:b w:val="0"/>
                <w:sz w:val="18"/>
              </w:rPr>
              <w:t>null</w:t>
            </w:r>
            <w:r>
              <w:rPr>
                <w:b w:val="0"/>
                <w:sz w:val="20"/>
              </w:rPr>
              <w:t xml:space="preserve"> when both are included.</w:t>
            </w:r>
          </w:p>
        </w:tc>
      </w:tr>
      <w:tr>
        <w:tc>
          <w:tcPr>
            <w:tcW w:type="dxa" w:w="230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filters.date_from</w:t>
            </w:r>
          </w:p>
        </w:tc>
        <w:tc>
          <w:tcPr>
            <w:tcW w:type="dxa" w:w="158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string | null</w:t>
            </w:r>
          </w:p>
        </w:tc>
        <w:tc>
          <w:tcPr>
            <w:tcW w:type="dxa" w:w="5616"/>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 xml:space="preserve">Echoed </w:t>
            </w:r>
            <w:r>
              <w:rPr>
                <w:rFonts w:ascii="Consolas" w:hAnsi="Consolas"/>
                <w:b w:val="0"/>
                <w:sz w:val="18"/>
              </w:rPr>
              <w:t>date_from</w:t>
            </w:r>
            <w:r>
              <w:rPr>
                <w:b w:val="0"/>
                <w:sz w:val="20"/>
              </w:rPr>
              <w:t>, if supplied.</w:t>
            </w:r>
          </w:p>
        </w:tc>
      </w:tr>
      <w:tr>
        <w:tc>
          <w:tcPr>
            <w:tcW w:type="dxa" w:w="230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filters.date_to</w:t>
            </w:r>
          </w:p>
        </w:tc>
        <w:tc>
          <w:tcPr>
            <w:tcW w:type="dxa" w:w="158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string | null</w:t>
            </w:r>
          </w:p>
        </w:tc>
        <w:tc>
          <w:tcPr>
            <w:tcW w:type="dxa" w:w="561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 xml:space="preserve">Echoed </w:t>
            </w:r>
            <w:r>
              <w:rPr>
                <w:rFonts w:ascii="Consolas" w:hAnsi="Consolas"/>
                <w:b w:val="0"/>
                <w:sz w:val="18"/>
              </w:rPr>
              <w:t>date_to</w:t>
            </w:r>
            <w:r>
              <w:rPr>
                <w:b w:val="0"/>
                <w:sz w:val="20"/>
              </w:rPr>
              <w:t>, if supplied.</w:t>
            </w:r>
          </w:p>
        </w:tc>
      </w:tr>
    </w:tbl>
    <w:p>
      <w:pPr>
        <w:spacing w:after="0"/>
      </w:pPr>
    </w:p>
    <w:p>
      <w:pPr>
        <w:spacing w:before="300" w:after="100"/>
        <w:pBdr>
          <w:bottom w:val="single" w:sz="6" w:space="4" w:color="D6DCE2"/>
        </w:pBdr>
        <w:keepNext/>
      </w:pPr>
      <w:r>
        <w:rPr>
          <w:rFonts w:ascii="Segoe UI" w:hAnsi="Segoe UI"/>
          <w:b/>
          <w:color w:val="1F6FB2"/>
          <w:sz w:val="20"/>
          <w:spacing w:val="26"/>
        </w:rPr>
        <w:t>RESPONSE — METRICS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2664"/>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FIELD</w:t>
            </w:r>
          </w:p>
        </w:tc>
        <w:tc>
          <w:tcPr>
            <w:tcW w:type="dxa" w:w="1296"/>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TYPE</w:t>
            </w:r>
          </w:p>
        </w:tc>
        <w:tc>
          <w:tcPr>
            <w:tcW w:type="dxa" w:w="5544"/>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DESCRIPTION</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total_calls</w:t>
            </w:r>
          </w:p>
        </w:tc>
        <w:tc>
          <w:tcPr>
            <w:tcW w:type="dxa" w:w="129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Completed calls in the window.</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calls_in_window</w:t>
            </w:r>
          </w:p>
        </w:tc>
        <w:tc>
          <w:tcPr>
            <w:tcW w:type="dxa" w:w="129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All calls started in the window, any outcome. Matches the dashboard's Total calls tile.</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fcr_rate</w:t>
            </w:r>
          </w:p>
        </w:tc>
        <w:tc>
          <w:tcPr>
            <w:tcW w:type="dxa" w:w="129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number</w:t>
            </w:r>
          </w:p>
        </w:tc>
        <w:tc>
          <w:tcPr>
            <w:tcW w:type="dxa" w:w="5544"/>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First-call resolution, as a percentage of completed calls.</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avg_aht_seconds</w:t>
            </w:r>
          </w:p>
        </w:tc>
        <w:tc>
          <w:tcPr>
            <w:tcW w:type="dxa" w:w="129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Average handle time per call, in seconds.</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escalation_rate</w:t>
            </w:r>
          </w:p>
        </w:tc>
        <w:tc>
          <w:tcPr>
            <w:tcW w:type="dxa" w:w="129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number</w:t>
            </w:r>
          </w:p>
        </w:tc>
        <w:tc>
          <w:tcPr>
            <w:tcW w:type="dxa" w:w="5544"/>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Percentage of completed calls handed to a human.</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resolved_count</w:t>
            </w:r>
          </w:p>
        </w:tc>
        <w:tc>
          <w:tcPr>
            <w:tcW w:type="dxa" w:w="129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 xml:space="preserve">Completed calls that ended as </w:t>
            </w:r>
            <w:r>
              <w:rPr>
                <w:rFonts w:ascii="Consolas" w:hAnsi="Consolas"/>
                <w:b w:val="0"/>
                <w:sz w:val="18"/>
              </w:rPr>
              <w:t>resolved</w:t>
            </w:r>
            <w:r>
              <w:rPr>
                <w:b w:val="0"/>
                <w:sz w:val="20"/>
              </w:rPr>
              <w:t>.</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escalated_count</w:t>
            </w:r>
          </w:p>
        </w:tc>
        <w:tc>
          <w:tcPr>
            <w:tcW w:type="dxa" w:w="129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 xml:space="preserve">Completed calls that ended as </w:t>
            </w:r>
            <w:r>
              <w:rPr>
                <w:rFonts w:ascii="Consolas" w:hAnsi="Consolas"/>
                <w:b w:val="0"/>
                <w:sz w:val="18"/>
              </w:rPr>
              <w:t>escalated</w:t>
            </w:r>
            <w:r>
              <w:rPr>
                <w:b w:val="0"/>
                <w:sz w:val="20"/>
              </w:rPr>
              <w:t>.</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avg_intent_accuracy</w:t>
            </w:r>
          </w:p>
        </w:tc>
        <w:tc>
          <w:tcPr>
            <w:tcW w:type="dxa" w:w="129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number</w:t>
            </w:r>
          </w:p>
        </w:tc>
        <w:tc>
          <w:tcPr>
            <w:tcW w:type="dxa" w:w="554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Average intent-classifier confidence, 0-100.</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live_concurrent_calls</w:t>
            </w:r>
          </w:p>
        </w:tc>
        <w:tc>
          <w:tcPr>
            <w:tcW w:type="dxa" w:w="129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Calls in progress right now. Not affected by the window.</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peak_concurrency</w:t>
            </w:r>
          </w:p>
        </w:tc>
        <w:tc>
          <w:tcPr>
            <w:tcW w:type="dxa" w:w="129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Most calls running at the same moment during the window.</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avg_turn_latency_ms</w:t>
            </w:r>
          </w:p>
        </w:tc>
        <w:tc>
          <w:tcPr>
            <w:tcW w:type="dxa" w:w="129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tcPr>
          <w:p>
            <w:pPr>
              <w:spacing w:after="0" w:line="259" w:lineRule="auto"/>
            </w:pPr>
            <w:r/>
            <w:r>
              <w:rPr>
                <w:b w:val="0"/>
                <w:sz w:val="20"/>
              </w:rPr>
              <w:t>Mean time to answer a customer turn, in milliseconds.</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p95_turn_latency_ms</w:t>
            </w:r>
          </w:p>
        </w:tc>
        <w:tc>
          <w:tcPr>
            <w:tcW w:type="dxa" w:w="129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integer</w:t>
            </w:r>
          </w:p>
        </w:tc>
        <w:tc>
          <w:tcPr>
            <w:tcW w:type="dxa" w:w="554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95th-percentile turn latency — the slow-end experience.</w:t>
            </w:r>
          </w:p>
        </w:tc>
      </w:tr>
    </w:tbl>
    <w:p>
      <w:pPr>
        <w:spacing w:after="0"/>
      </w:pPr>
    </w:p>
    <w:p>
      <w:pPr>
        <w:spacing w:before="300" w:after="100"/>
        <w:pBdr>
          <w:bottom w:val="single" w:sz="6" w:space="4" w:color="D6DCE2"/>
        </w:pBdr>
        <w:keepNext/>
      </w:pPr>
      <w:r>
        <w:rPr>
          <w:rFonts w:ascii="Segoe UI" w:hAnsi="Segoe UI"/>
          <w:b/>
          <w:color w:val="1F6FB2"/>
          <w:sz w:val="20"/>
          <w:spacing w:val="26"/>
        </w:rPr>
        <w:t>RESPONSE — CHARTS AND BREAKDOWNS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2664"/>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FIELD</w:t>
            </w:r>
          </w:p>
        </w:tc>
        <w:tc>
          <w:tcPr>
            <w:tcW w:type="dxa" w:w="1656"/>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TYPE</w:t>
            </w:r>
          </w:p>
        </w:tc>
        <w:tc>
          <w:tcPr>
            <w:tcW w:type="dxa" w:w="5184"/>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DESCRIPTION</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charts.call_volume</w:t>
            </w:r>
          </w:p>
        </w:tc>
        <w:tc>
          <w:tcPr>
            <w:tcW w:type="dxa" w:w="165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array&lt;object&gt;</w:t>
            </w:r>
          </w:p>
        </w:tc>
        <w:tc>
          <w:tcPr>
            <w:tcW w:type="dxa" w:w="518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sz w:val="18"/>
              </w:rPr>
              <w:t>{t, started}</w:t>
            </w:r>
            <w:r>
              <w:rPr>
                <w:b w:val="0"/>
                <w:sz w:val="20"/>
              </w:rPr>
              <w:t xml:space="preserve"> per time bucket — how many calls began in each. Drives the Call Volume chart.</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charts.latency_over_time</w:t>
            </w:r>
          </w:p>
        </w:tc>
        <w:tc>
          <w:tcPr>
            <w:tcW w:type="dxa" w:w="165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array&lt;object&gt;</w:t>
            </w:r>
          </w:p>
        </w:tc>
        <w:tc>
          <w:tcPr>
            <w:tcW w:type="dxa" w:w="518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sz w:val="18"/>
              </w:rPr>
              <w:t>{t, avg_ms}</w:t>
            </w:r>
            <w:r>
              <w:rPr>
                <w:b w:val="0"/>
                <w:sz w:val="20"/>
              </w:rPr>
              <w:t xml:space="preserve"> per bucket; </w:t>
            </w:r>
            <w:r>
              <w:rPr>
                <w:rFonts w:ascii="Consolas" w:hAnsi="Consolas"/>
                <w:b w:val="0"/>
                <w:sz w:val="18"/>
              </w:rPr>
              <w:t>avg_ms</w:t>
            </w:r>
            <w:r>
              <w:rPr>
                <w:b w:val="0"/>
                <w:sz w:val="20"/>
              </w:rPr>
              <w:t xml:space="preserve"> is </w:t>
            </w:r>
            <w:r>
              <w:rPr>
                <w:rFonts w:ascii="Consolas" w:hAnsi="Consolas"/>
                <w:b w:val="0"/>
                <w:sz w:val="18"/>
              </w:rPr>
              <w:t>null</w:t>
            </w:r>
            <w:r>
              <w:rPr>
                <w:b w:val="0"/>
                <w:sz w:val="20"/>
              </w:rPr>
              <w:t xml:space="preserve"> for buckets with no calls.</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charts.concurrency</w:t>
            </w:r>
          </w:p>
        </w:tc>
        <w:tc>
          <w:tcPr>
            <w:tcW w:type="dxa" w:w="165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array&lt;object&gt;</w:t>
            </w:r>
          </w:p>
        </w:tc>
        <w:tc>
          <w:tcPr>
            <w:tcW w:type="dxa" w:w="518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sz w:val="18"/>
              </w:rPr>
              <w:t>{t, concurrent}</w:t>
            </w:r>
            <w:r>
              <w:rPr>
                <w:b w:val="0"/>
                <w:sz w:val="20"/>
              </w:rPr>
              <w:t xml:space="preserve"> per bucket — calls running at that moment.</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outcomes</w:t>
            </w:r>
          </w:p>
        </w:tc>
        <w:tc>
          <w:tcPr>
            <w:tcW w:type="dxa" w:w="165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array&lt;object&gt;</w:t>
            </w:r>
          </w:p>
        </w:tc>
        <w:tc>
          <w:tcPr>
            <w:tcW w:type="dxa" w:w="518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sz w:val="18"/>
              </w:rPr>
              <w:t>{name, value}</w:t>
            </w:r>
            <w:r>
              <w:rPr>
                <w:b w:val="0"/>
                <w:sz w:val="20"/>
              </w:rPr>
              <w:t xml:space="preserve"> for Resolved, Escalated and Other.</w:t>
            </w:r>
          </w:p>
        </w:tc>
      </w:tr>
      <w:tr>
        <w:tc>
          <w:tcPr>
            <w:tcW w:type="dxa" w:w="266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1A1D21"/>
                <w:sz w:val="18"/>
              </w:rPr>
              <w:t>calls_by_agent</w:t>
            </w:r>
          </w:p>
        </w:tc>
        <w:tc>
          <w:tcPr>
            <w:tcW w:type="dxa" w:w="165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color w:val="5F6B76"/>
                <w:sz w:val="17"/>
              </w:rPr>
              <w:t>array&lt;object&gt;</w:t>
            </w:r>
          </w:p>
        </w:tc>
        <w:tc>
          <w:tcPr>
            <w:tcW w:type="dxa" w:w="5184"/>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sz w:val="18"/>
              </w:rPr>
              <w:t>{agent, count}</w:t>
            </w:r>
            <w:r>
              <w:rPr>
                <w:b w:val="0"/>
                <w:sz w:val="20"/>
              </w:rPr>
              <w:t>, busiest agent first.</w:t>
            </w:r>
          </w:p>
        </w:tc>
      </w:tr>
      <w:tr>
        <w:tc>
          <w:tcPr>
            <w:tcW w:type="dxa" w:w="266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1A1D21"/>
                <w:sz w:val="18"/>
              </w:rPr>
              <w:t>aht_distribution</w:t>
            </w:r>
          </w:p>
        </w:tc>
        <w:tc>
          <w:tcPr>
            <w:tcW w:type="dxa" w:w="165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color w:val="5F6B76"/>
                <w:sz w:val="17"/>
              </w:rPr>
              <w:t>array&lt;object&gt;</w:t>
            </w:r>
          </w:p>
        </w:tc>
        <w:tc>
          <w:tcPr>
            <w:tcW w:type="dxa" w:w="5184"/>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val="0"/>
                <w:sz w:val="18"/>
              </w:rPr>
              <w:t>{bucket, count}</w:t>
            </w:r>
            <w:r>
              <w:rPr>
                <w:b w:val="0"/>
                <w:sz w:val="20"/>
              </w:rPr>
              <w:t xml:space="preserve"> histogram of call length: 0-30s, 30-60s, 1-2m, 2-3m, 3-5m, 5m+.</w:t>
            </w:r>
          </w:p>
        </w:tc>
      </w:tr>
    </w:tbl>
    <w:p>
      <w:pPr>
        <w:spacing w:after="0"/>
      </w:pPr>
    </w:p>
    <w:p>
      <w:pPr>
        <w:spacing w:after="120"/>
      </w:pPr>
      <w:r>
        <w:rPr>
          <w:color w:val="5F6B76"/>
          <w:sz w:val="20"/>
        </w:rPr>
        <w:t xml:space="preserve">Each series is bucketed across the window — up to 200 points, at least one minute apart. </w:t>
      </w:r>
      <w:r>
        <w:rPr>
          <w:rFonts w:ascii="Consolas" w:hAnsi="Consolas"/>
          <w:color w:val="5F6B76"/>
          <w:sz w:val="18"/>
        </w:rPr>
        <w:t>t</w:t>
      </w:r>
      <w:r>
        <w:rPr>
          <w:color w:val="5F6B76"/>
          <w:sz w:val="20"/>
        </w:rPr>
        <w:t xml:space="preserve"> is an ISO 8601 timestamp marking the start of the bucket.</w:t>
      </w:r>
    </w:p>
    <w:p>
      <w:pPr>
        <w:spacing w:before="160" w:after="40"/>
        <w:keepNext/>
      </w:pPr>
      <w:r>
        <w:rPr>
          <w:rFonts w:ascii="Segoe UI" w:hAnsi="Segoe UI"/>
          <w:b/>
          <w:color w:val="5F6B76"/>
          <w:sz w:val="19"/>
          <w:spacing w:val="16"/>
        </w:rPr>
        <w:t>SAMPLE RESPONSE — 200 OK (chart arrays abridged)</w:t>
      </w:r>
    </w:p>
    <w:tbl>
      <w:tblPr>
        <w:tblW w:type="auto" w:w="0"/>
        <w:tblLayout w:type="fixed"/>
        <w:tblLook w:firstColumn="1" w:firstRow="1" w:lastColumn="0" w:lastRow="0" w:noHBand="0" w:noVBand="1" w:val="04A0"/>
      </w:tblPr>
      <w:tblGrid>
        <w:gridCol w:w="9792"/>
      </w:tblGrid>
      <w:tr>
        <w:tc>
          <w:tcPr>
            <w:tcW w:type="dxa" w:w="9504"/>
            <w:shd w:val="clear" w:fill="F3F5F7"/>
            <w:tcBorders>
              <w:top w:val="nil"/>
              <w:left w:val="single" w:sz="14" w:space="0" w:color="1B4570"/>
              <w:bottom w:val="nil"/>
              <w:right w:val="nil"/>
            </w:tcBorders>
            <w:tcMar>
              <w:top w:w="110" w:type="dxa"/>
              <w:start w:w="160" w:type="dxa"/>
              <w:bottom w:w="110" w:type="dxa"/>
              <w:end w:w="120" w:type="dxa"/>
            </w:tcMar>
          </w:tcPr>
          <w:p>
            <w:pPr>
              <w:spacing w:after="0" w:line="269" w:lineRule="auto"/>
            </w:pPr>
            <w:r/>
            <w:r>
              <w:rPr>
                <w:rFonts w:ascii="Consolas" w:hAnsi="Consolas"/>
                <w:color w:val="1A1D21"/>
                <w:sz w:val="18"/>
              </w:rPr>
              <w:t>{</w:t>
            </w:r>
            <w:r>
              <w:rPr>
                <w:rFonts w:ascii="Consolas" w:hAnsi="Consolas"/>
                <w:color w:val="1A1D21"/>
                <w:sz w:val="18"/>
              </w:rPr>
              <w:br/>
              <w:t xml:space="preserve">    "success": true,</w:t>
            </w:r>
            <w:r>
              <w:rPr>
                <w:rFonts w:ascii="Consolas" w:hAnsi="Consolas"/>
                <w:color w:val="1A1D21"/>
                <w:sz w:val="18"/>
              </w:rPr>
              <w:br/>
              <w:t xml:space="preserve">    "filters": {</w:t>
            </w:r>
            <w:r>
              <w:rPr>
                <w:rFonts w:ascii="Consolas" w:hAnsi="Consolas"/>
                <w:color w:val="1A1D21"/>
                <w:sz w:val="18"/>
              </w:rPr>
              <w:br/>
              <w:t xml:space="preserve">        "window": "24h",</w:t>
            </w:r>
            <w:r>
              <w:rPr>
                <w:rFonts w:ascii="Consolas" w:hAnsi="Consolas"/>
                <w:color w:val="1A1D21"/>
                <w:sz w:val="18"/>
              </w:rPr>
              <w:br/>
              <w:t xml:space="preserve">        "direction": null,</w:t>
            </w:r>
            <w:r>
              <w:rPr>
                <w:rFonts w:ascii="Consolas" w:hAnsi="Consolas"/>
                <w:color w:val="1A1D21"/>
                <w:sz w:val="18"/>
              </w:rPr>
              <w:br/>
              <w:t xml:space="preserve">        "date_from": null,</w:t>
            </w:r>
            <w:r>
              <w:rPr>
                <w:rFonts w:ascii="Consolas" w:hAnsi="Consolas"/>
                <w:color w:val="1A1D21"/>
                <w:sz w:val="18"/>
              </w:rPr>
              <w:br/>
              <w:t xml:space="preserve">        "date_to": null</w:t>
            </w:r>
            <w:r>
              <w:rPr>
                <w:rFonts w:ascii="Consolas" w:hAnsi="Consolas"/>
                <w:color w:val="1A1D21"/>
                <w:sz w:val="18"/>
              </w:rPr>
              <w:br/>
              <w:t xml:space="preserve">    },</w:t>
            </w:r>
            <w:r>
              <w:rPr>
                <w:rFonts w:ascii="Consolas" w:hAnsi="Consolas"/>
                <w:color w:val="1A1D21"/>
                <w:sz w:val="18"/>
              </w:rPr>
              <w:br/>
              <w:t xml:space="preserve">    "metrics": {</w:t>
            </w:r>
            <w:r>
              <w:rPr>
                <w:rFonts w:ascii="Consolas" w:hAnsi="Consolas"/>
                <w:color w:val="1A1D21"/>
                <w:sz w:val="18"/>
              </w:rPr>
              <w:br/>
              <w:t xml:space="preserve">        "total_calls": 45,</w:t>
            </w:r>
            <w:r>
              <w:rPr>
                <w:rFonts w:ascii="Consolas" w:hAnsi="Consolas"/>
                <w:color w:val="1A1D21"/>
                <w:sz w:val="18"/>
              </w:rPr>
              <w:br/>
              <w:t xml:space="preserve">        "calls_in_window": 46,</w:t>
            </w:r>
            <w:r>
              <w:rPr>
                <w:rFonts w:ascii="Consolas" w:hAnsi="Consolas"/>
                <w:color w:val="1A1D21"/>
                <w:sz w:val="18"/>
              </w:rPr>
              <w:br/>
              <w:t xml:space="preserve">        "fcr_rate": 0.0,</w:t>
            </w:r>
            <w:r>
              <w:rPr>
                <w:rFonts w:ascii="Consolas" w:hAnsi="Consolas"/>
                <w:color w:val="1A1D21"/>
                <w:sz w:val="18"/>
              </w:rPr>
              <w:br/>
              <w:t xml:space="preserve">        "avg_aht_seconds": 8,</w:t>
            </w:r>
            <w:r>
              <w:rPr>
                <w:rFonts w:ascii="Consolas" w:hAnsi="Consolas"/>
                <w:color w:val="1A1D21"/>
                <w:sz w:val="18"/>
              </w:rPr>
              <w:br/>
              <w:t xml:space="preserve">        "escalation_rate": 26.7,</w:t>
            </w:r>
            <w:r>
              <w:rPr>
                <w:rFonts w:ascii="Consolas" w:hAnsi="Consolas"/>
                <w:color w:val="1A1D21"/>
                <w:sz w:val="18"/>
              </w:rPr>
              <w:br/>
              <w:t xml:space="preserve">        "resolved_count": 0,</w:t>
            </w:r>
            <w:r>
              <w:rPr>
                <w:rFonts w:ascii="Consolas" w:hAnsi="Consolas"/>
                <w:color w:val="1A1D21"/>
                <w:sz w:val="18"/>
              </w:rPr>
              <w:br/>
              <w:t xml:space="preserve">        "escalated_count": 12,</w:t>
            </w:r>
            <w:r>
              <w:rPr>
                <w:rFonts w:ascii="Consolas" w:hAnsi="Consolas"/>
                <w:color w:val="1A1D21"/>
                <w:sz w:val="18"/>
              </w:rPr>
              <w:br/>
              <w:t xml:space="preserve">        "avg_intent_accuracy": 88.8,</w:t>
            </w:r>
            <w:r>
              <w:rPr>
                <w:rFonts w:ascii="Consolas" w:hAnsi="Consolas"/>
                <w:color w:val="1A1D21"/>
                <w:sz w:val="18"/>
              </w:rPr>
              <w:br/>
              <w:t xml:space="preserve">        "live_concurrent_calls": 0,</w:t>
            </w:r>
            <w:r>
              <w:rPr>
                <w:rFonts w:ascii="Consolas" w:hAnsi="Consolas"/>
                <w:color w:val="1A1D21"/>
                <w:sz w:val="18"/>
              </w:rPr>
              <w:br/>
              <w:t xml:space="preserve">        "peak_concurrency": 1,</w:t>
            </w:r>
            <w:r>
              <w:rPr>
                <w:rFonts w:ascii="Consolas" w:hAnsi="Consolas"/>
                <w:color w:val="1A1D21"/>
                <w:sz w:val="18"/>
              </w:rPr>
              <w:br/>
              <w:t xml:space="preserve">        "avg_turn_latency_ms": 795,</w:t>
            </w:r>
            <w:r>
              <w:rPr>
                <w:rFonts w:ascii="Consolas" w:hAnsi="Consolas"/>
                <w:color w:val="1A1D21"/>
                <w:sz w:val="18"/>
              </w:rPr>
              <w:br/>
              <w:t xml:space="preserve">        "p95_turn_latency_ms": 1003</w:t>
            </w:r>
            <w:r>
              <w:rPr>
                <w:rFonts w:ascii="Consolas" w:hAnsi="Consolas"/>
                <w:color w:val="1A1D21"/>
                <w:sz w:val="18"/>
              </w:rPr>
              <w:br/>
              <w:t xml:space="preserve">    },</w:t>
            </w:r>
            <w:r>
              <w:rPr>
                <w:rFonts w:ascii="Consolas" w:hAnsi="Consolas"/>
                <w:color w:val="1A1D21"/>
                <w:sz w:val="18"/>
              </w:rPr>
              <w:br/>
              <w:t xml:space="preserve">    "charts": {</w:t>
            </w:r>
            <w:r>
              <w:rPr>
                <w:rFonts w:ascii="Consolas" w:hAnsi="Consolas"/>
                <w:color w:val="1A1D21"/>
                <w:sz w:val="18"/>
              </w:rPr>
              <w:br/>
              <w:t xml:space="preserve">        "call_volume": [</w:t>
            </w:r>
            <w:r>
              <w:rPr>
                <w:rFonts w:ascii="Consolas" w:hAnsi="Consolas"/>
                <w:color w:val="1A1D21"/>
                <w:sz w:val="18"/>
              </w:rPr>
              <w:br/>
              <w:t xml:space="preserve">            { "t": "2026-09-23T12:58:00+05:30", "started": 8 },</w:t>
            </w:r>
            <w:r>
              <w:rPr>
                <w:rFonts w:ascii="Consolas" w:hAnsi="Consolas"/>
                <w:color w:val="1A1D21"/>
                <w:sz w:val="18"/>
              </w:rPr>
              <w:br/>
              <w:t xml:space="preserve">            { "t": "2026-09-23T13:05:00+05:30", "started": 0 }</w:t>
            </w:r>
            <w:r>
              <w:rPr>
                <w:rFonts w:ascii="Consolas" w:hAnsi="Consolas"/>
                <w:color w:val="1A1D21"/>
                <w:sz w:val="18"/>
              </w:rPr>
              <w:br/>
              <w:t xml:space="preserve">        ],</w:t>
            </w:r>
            <w:r>
              <w:rPr>
                <w:rFonts w:ascii="Consolas" w:hAnsi="Consolas"/>
                <w:color w:val="1A1D21"/>
                <w:sz w:val="18"/>
              </w:rPr>
              <w:br/>
              <w:t xml:space="preserve">        "latency_over_time": [</w:t>
            </w:r>
            <w:r>
              <w:rPr>
                <w:rFonts w:ascii="Consolas" w:hAnsi="Consolas"/>
                <w:color w:val="1A1D21"/>
                <w:sz w:val="18"/>
              </w:rPr>
              <w:br/>
              <w:t xml:space="preserve">            { "t": "2026-09-23T12:58:00+05:30", "avg_ms": 812 },</w:t>
            </w:r>
            <w:r>
              <w:rPr>
                <w:rFonts w:ascii="Consolas" w:hAnsi="Consolas"/>
                <w:color w:val="1A1D21"/>
                <w:sz w:val="18"/>
              </w:rPr>
              <w:br/>
              <w:t xml:space="preserve">            { "t": "2026-09-23T13:05:00+05:30", "avg_ms": null }</w:t>
            </w:r>
            <w:r>
              <w:rPr>
                <w:rFonts w:ascii="Consolas" w:hAnsi="Consolas"/>
                <w:color w:val="1A1D21"/>
                <w:sz w:val="18"/>
              </w:rPr>
              <w:br/>
              <w:t xml:space="preserve">        ],</w:t>
            </w:r>
            <w:r>
              <w:rPr>
                <w:rFonts w:ascii="Consolas" w:hAnsi="Consolas"/>
                <w:color w:val="1A1D21"/>
                <w:sz w:val="18"/>
              </w:rPr>
              <w:br/>
              <w:t xml:space="preserve">        "concurrency": [</w:t>
            </w:r>
            <w:r>
              <w:rPr>
                <w:rFonts w:ascii="Consolas" w:hAnsi="Consolas"/>
                <w:color w:val="1A1D21"/>
                <w:sz w:val="18"/>
              </w:rPr>
              <w:br/>
              <w:t xml:space="preserve">            { "t": "2026-09-23T12:58:00+05:30", "concurrent": 1 },</w:t>
            </w:r>
            <w:r>
              <w:rPr>
                <w:rFonts w:ascii="Consolas" w:hAnsi="Consolas"/>
                <w:color w:val="1A1D21"/>
                <w:sz w:val="18"/>
              </w:rPr>
              <w:br/>
              <w:t xml:space="preserve">            { "t": "2026-09-23T13:05:00+05:30", "concurrent": 0 }</w:t>
            </w:r>
            <w:r>
              <w:rPr>
                <w:rFonts w:ascii="Consolas" w:hAnsi="Consolas"/>
                <w:color w:val="1A1D21"/>
                <w:sz w:val="18"/>
              </w:rPr>
              <w:br/>
              <w:t xml:space="preserve">        ]</w:t>
            </w:r>
            <w:r>
              <w:rPr>
                <w:rFonts w:ascii="Consolas" w:hAnsi="Consolas"/>
                <w:color w:val="1A1D21"/>
                <w:sz w:val="18"/>
              </w:rPr>
              <w:br/>
              <w:t xml:space="preserve">    },</w:t>
            </w:r>
            <w:r>
              <w:rPr>
                <w:rFonts w:ascii="Consolas" w:hAnsi="Consolas"/>
                <w:color w:val="1A1D21"/>
                <w:sz w:val="18"/>
              </w:rPr>
              <w:br/>
              <w:t xml:space="preserve">    "outcomes": [</w:t>
            </w:r>
            <w:r>
              <w:rPr>
                <w:rFonts w:ascii="Consolas" w:hAnsi="Consolas"/>
                <w:color w:val="1A1D21"/>
                <w:sz w:val="18"/>
              </w:rPr>
              <w:br/>
              <w:t xml:space="preserve">        { "name": "Resolved",  "value": 0 },</w:t>
            </w:r>
            <w:r>
              <w:rPr>
                <w:rFonts w:ascii="Consolas" w:hAnsi="Consolas"/>
                <w:color w:val="1A1D21"/>
                <w:sz w:val="18"/>
              </w:rPr>
              <w:br/>
              <w:t xml:space="preserve">        { "name": "Escalated", "value": 12 },</w:t>
            </w:r>
            <w:r>
              <w:rPr>
                <w:rFonts w:ascii="Consolas" w:hAnsi="Consolas"/>
                <w:color w:val="1A1D21"/>
                <w:sz w:val="18"/>
              </w:rPr>
              <w:br/>
              <w:t xml:space="preserve">        { "name": "Other",     "value": 34 }</w:t>
            </w:r>
            <w:r>
              <w:rPr>
                <w:rFonts w:ascii="Consolas" w:hAnsi="Consolas"/>
                <w:color w:val="1A1D21"/>
                <w:sz w:val="18"/>
              </w:rPr>
              <w:br/>
              <w:t xml:space="preserve">    ],</w:t>
            </w:r>
            <w:r>
              <w:rPr>
                <w:rFonts w:ascii="Consolas" w:hAnsi="Consolas"/>
                <w:color w:val="1A1D21"/>
                <w:sz w:val="18"/>
              </w:rPr>
              <w:br/>
              <w:t xml:space="preserve">    "calls_by_agent": [</w:t>
            </w:r>
            <w:r>
              <w:rPr>
                <w:rFonts w:ascii="Consolas" w:hAnsi="Consolas"/>
                <w:color w:val="1A1D21"/>
                <w:sz w:val="18"/>
              </w:rPr>
              <w:br/>
              <w:t xml:space="preserve">        { "agent": "Inbound Banking Assistant", "count": 41 },</w:t>
            </w:r>
            <w:r>
              <w:rPr>
                <w:rFonts w:ascii="Consolas" w:hAnsi="Consolas"/>
                <w:color w:val="1A1D21"/>
                <w:sz w:val="18"/>
              </w:rPr>
              <w:br/>
              <w:t xml:space="preserve">        { "agent": "EMI Reminder",              "count": 3 },</w:t>
            </w:r>
            <w:r>
              <w:rPr>
                <w:rFonts w:ascii="Consolas" w:hAnsi="Consolas"/>
                <w:color w:val="1A1D21"/>
                <w:sz w:val="18"/>
              </w:rPr>
              <w:br/>
              <w:t xml:space="preserve">        { "agent": "Forex Transaction",         "count": 1 }</w:t>
            </w:r>
            <w:r>
              <w:rPr>
                <w:rFonts w:ascii="Consolas" w:hAnsi="Consolas"/>
                <w:color w:val="1A1D21"/>
                <w:sz w:val="18"/>
              </w:rPr>
              <w:br/>
              <w:t xml:space="preserve">    ],</w:t>
            </w:r>
            <w:r>
              <w:rPr>
                <w:rFonts w:ascii="Consolas" w:hAnsi="Consolas"/>
                <w:color w:val="1A1D21"/>
                <w:sz w:val="18"/>
              </w:rPr>
              <w:br/>
              <w:t xml:space="preserve">    "aht_distribution": [</w:t>
            </w:r>
            <w:r>
              <w:rPr>
                <w:rFonts w:ascii="Consolas" w:hAnsi="Consolas"/>
                <w:color w:val="1A1D21"/>
                <w:sz w:val="18"/>
              </w:rPr>
              <w:br/>
              <w:t xml:space="preserve">        { "bucket": "0–30s",  "count": 39 },</w:t>
            </w:r>
            <w:r>
              <w:rPr>
                <w:rFonts w:ascii="Consolas" w:hAnsi="Consolas"/>
                <w:color w:val="1A1D21"/>
                <w:sz w:val="18"/>
              </w:rPr>
              <w:br/>
              <w:t xml:space="preserve">        { "bucket": "30–60s", "count": 4 }</w:t>
            </w:r>
            <w:r>
              <w:rPr>
                <w:rFonts w:ascii="Consolas" w:hAnsi="Consolas"/>
                <w:color w:val="1A1D21"/>
                <w:sz w:val="18"/>
              </w:rPr>
              <w:br/>
              <w:t xml:space="preserve">    ]</w:t>
            </w:r>
            <w:r>
              <w:rPr>
                <w:rFonts w:ascii="Consolas" w:hAnsi="Consolas"/>
                <w:color w:val="1A1D21"/>
                <w:sz w:val="18"/>
              </w:rPr>
              <w:br/>
              <w:t>}</w:t>
            </w:r>
          </w:p>
        </w:tc>
      </w:tr>
    </w:tbl>
    <w:p>
      <w:pPr>
        <w:spacing w:after="0"/>
      </w:pPr>
    </w:p>
    <w:p>
      <w:pPr>
        <w:spacing w:before="300" w:after="100"/>
        <w:pBdr>
          <w:bottom w:val="single" w:sz="6" w:space="4" w:color="D6DCE2"/>
        </w:pBdr>
        <w:keepNext/>
      </w:pPr>
      <w:r>
        <w:rPr>
          <w:rFonts w:ascii="Segoe UI" w:hAnsi="Segoe UI"/>
          <w:b/>
          <w:color w:val="1F6FB2"/>
          <w:sz w:val="20"/>
          <w:spacing w:val="26"/>
        </w:rPr>
        <w:t>ERROR RESPONSES</w:t>
      </w:r>
    </w:p>
    <w:tbl>
      <w:tblPr>
        <w:tblW w:type="auto" w:w="0"/>
        <w:tblLayout w:type="fixed"/>
        <w:tblLook w:firstColumn="1" w:firstRow="1" w:lastColumn="0" w:lastRow="0" w:noHBand="0" w:noVBand="1" w:val="04A0"/>
      </w:tblPr>
      <w:tblGrid>
        <w:gridCol w:w="4896"/>
        <w:gridCol w:w="4896"/>
      </w:tblGrid>
      <w:tr>
        <w:trPr>
          <w:tblHeader w:val="true"/>
        </w:trPr>
        <w:tc>
          <w:tcPr>
            <w:tcW w:type="dxa" w:w="1296"/>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STATUS</w:t>
            </w:r>
          </w:p>
        </w:tc>
        <w:tc>
          <w:tcPr>
            <w:tcW w:type="dxa" w:w="8208"/>
            <w:shd w:val="clear" w:fill="1B4570"/>
            <w:tcBorders>
              <w:top w:val="nil"/>
              <w:left w:val="nil"/>
              <w:bottom w:val="nil"/>
              <w:right w:val="nil"/>
            </w:tcBorders>
            <w:tcMar>
              <w:top w:w="70" w:type="dxa"/>
              <w:start w:w="115" w:type="dxa"/>
              <w:bottom w:w="70" w:type="dxa"/>
              <w:end w:w="115" w:type="dxa"/>
            </w:tcMar>
          </w:tcPr>
          <w:p>
            <w:pPr>
              <w:spacing w:after="0"/>
            </w:pPr>
            <w:r/>
            <w:r>
              <w:rPr>
                <w:rFonts w:ascii="Segoe UI" w:hAnsi="Segoe UI"/>
                <w:b/>
                <w:color w:val="FFFFFF"/>
                <w:sz w:val="18"/>
                <w:spacing w:val="20"/>
              </w:rPr>
              <w:t>MEANING</w:t>
            </w:r>
          </w:p>
        </w:tc>
      </w:tr>
      <w:tr>
        <w:tc>
          <w:tcPr>
            <w:tcW w:type="dxa" w:w="1296"/>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color w:val="1A1D21"/>
                <w:sz w:val="20"/>
              </w:rPr>
              <w:t>400</w:t>
            </w:r>
          </w:p>
        </w:tc>
        <w:tc>
          <w:tcPr>
            <w:tcW w:type="dxa" w:w="8208"/>
            <w:tcBorders>
              <w:top w:val="nil"/>
              <w:left w:val="nil"/>
              <w:bottom w:val="single" w:sz="4" w:space="0" w:color="D6DCE2"/>
              <w:right w:val="nil"/>
            </w:tcBorders>
            <w:tcMar>
              <w:top w:w="85" w:type="dxa"/>
              <w:start w:w="115" w:type="dxa"/>
              <w:bottom w:w="85" w:type="dxa"/>
              <w:end w:w="115" w:type="dxa"/>
            </w:tcMar>
          </w:tcPr>
          <w:p>
            <w:pPr>
              <w:spacing w:after="0" w:line="259" w:lineRule="auto"/>
            </w:pPr>
            <w:r/>
            <w:r>
              <w:rPr>
                <w:rFonts w:ascii="Consolas" w:hAnsi="Consolas"/>
                <w:b w:val="0"/>
                <w:sz w:val="18"/>
              </w:rPr>
              <w:t>date_from</w:t>
            </w:r>
            <w:r>
              <w:rPr>
                <w:b w:val="0"/>
                <w:sz w:val="20"/>
              </w:rPr>
              <w:t xml:space="preserve"> / </w:t>
            </w:r>
            <w:r>
              <w:rPr>
                <w:rFonts w:ascii="Consolas" w:hAnsi="Consolas"/>
                <w:b w:val="0"/>
                <w:sz w:val="18"/>
              </w:rPr>
              <w:t>date_to</w:t>
            </w:r>
            <w:r>
              <w:rPr>
                <w:b w:val="0"/>
                <w:sz w:val="20"/>
              </w:rPr>
              <w:t xml:space="preserve"> is not a valid </w:t>
            </w:r>
            <w:r>
              <w:rPr>
                <w:rFonts w:ascii="Consolas" w:hAnsi="Consolas"/>
                <w:b w:val="0"/>
                <w:sz w:val="18"/>
              </w:rPr>
              <w:t>YYYY-MM-DD</w:t>
            </w:r>
            <w:r>
              <w:rPr>
                <w:b w:val="0"/>
                <w:sz w:val="20"/>
              </w:rPr>
              <w:t xml:space="preserve"> string. Body: </w:t>
            </w:r>
            <w:r>
              <w:rPr>
                <w:rFonts w:ascii="Consolas" w:hAnsi="Consolas"/>
                <w:b w:val="0"/>
                <w:sz w:val="18"/>
              </w:rPr>
              <w:t>{"detail": "date_from must be in YYYY-MM-DD format"}</w:t>
            </w:r>
            <w:r>
              <w:rPr>
                <w:b w:val="0"/>
                <w:sz w:val="20"/>
              </w:rPr>
              <w:t>.</w:t>
            </w:r>
          </w:p>
        </w:tc>
      </w:tr>
      <w:tr>
        <w:tc>
          <w:tcPr>
            <w:tcW w:type="dxa" w:w="1296"/>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rFonts w:ascii="Consolas" w:hAnsi="Consolas"/>
                <w:b/>
                <w:color w:val="1A1D21"/>
                <w:sz w:val="20"/>
              </w:rPr>
              <w:t>401</w:t>
            </w:r>
          </w:p>
        </w:tc>
        <w:tc>
          <w:tcPr>
            <w:tcW w:type="dxa" w:w="8208"/>
            <w:tcBorders>
              <w:top w:val="nil"/>
              <w:left w:val="nil"/>
              <w:bottom w:val="single" w:sz="4" w:space="0" w:color="D6DCE2"/>
              <w:right w:val="nil"/>
            </w:tcBorders>
            <w:tcMar>
              <w:top w:w="85" w:type="dxa"/>
              <w:start w:w="115" w:type="dxa"/>
              <w:bottom w:w="85" w:type="dxa"/>
              <w:end w:w="115" w:type="dxa"/>
            </w:tcMar>
            <w:shd w:val="clear" w:fill="F4F6F8"/>
          </w:tcPr>
          <w:p>
            <w:pPr>
              <w:spacing w:after="0" w:line="259" w:lineRule="auto"/>
            </w:pPr>
            <w:r/>
            <w:r>
              <w:rPr>
                <w:b w:val="0"/>
                <w:sz w:val="20"/>
              </w:rPr>
              <w:t xml:space="preserve">Missing or invalid </w:t>
            </w:r>
            <w:r>
              <w:rPr>
                <w:rFonts w:ascii="Consolas" w:hAnsi="Consolas"/>
                <w:b w:val="0"/>
                <w:sz w:val="18"/>
              </w:rPr>
              <w:t>X-API-Key</w:t>
            </w:r>
            <w:r>
              <w:rPr>
                <w:b w:val="0"/>
                <w:sz w:val="20"/>
              </w:rPr>
              <w:t>.</w:t>
            </w:r>
          </w:p>
        </w:tc>
      </w:tr>
    </w:tbl>
    <w:p>
      <w:pPr>
        <w:spacing w:after="0"/>
      </w:pPr>
    </w:p>
    <w:p>
      <w:pPr>
        <w:spacing w:after="120"/>
      </w:pPr>
      <w:r>
        <w:rPr>
          <w:color w:val="5F6B76"/>
          <w:sz w:val="18"/>
        </w:rPr>
        <w:t xml:space="preserve">Authentication errors (401 / 403) return a flat </w:t>
      </w:r>
      <w:r>
        <w:rPr>
          <w:rFonts w:ascii="Consolas" w:hAnsi="Consolas"/>
          <w:color w:val="5F6B76"/>
          <w:sz w:val="16"/>
        </w:rPr>
        <w:t xml:space="preserve">{success, error, message}</w:t>
      </w:r>
      <w:r>
        <w:rPr>
          <w:color w:val="5F6B76"/>
          <w:sz w:val="18"/>
        </w:rPr>
        <w:t xml:space="preserve"> body; not-found and upstream errors return </w:t>
      </w:r>
      <w:r>
        <w:rPr>
          <w:rFonts w:ascii="Consolas" w:hAnsi="Consolas"/>
          <w:color w:val="5F6B76"/>
          <w:sz w:val="16"/>
        </w:rPr>
        <w:t xml:space="preserve">detail</w:t>
      </w:r>
      <w:r>
        <w:rPr>
          <w:color w:val="5F6B76"/>
          <w:sz w:val="18"/>
        </w:rPr>
        <w:t xml:space="preserve"> as a plain string.</w:t>
      </w:r>
    </w:p>
    <w:sectPr w:rsidR="00FC693F" w:rsidRPr="0006063C" w:rsidSect="00034616">
      <w:footerReference w:type="default" r:id="rId9"/>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F6B76"/>
        <w:sz w:val="16"/>
      </w:rPr>
      <w:t xml:space="preserve">Analytics Metrics   ·   </w:t>
    </w:r>
    <w:fldSimple w:instr="PAGE">
      <w:r>
        <w:rPr>
          <w:sz w:val="16"/>
          <w:color w:val="5F6B7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1A1D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