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0" w:lineRule="auto" w:before="1824" w:after="0"/>
        <w:ind w:left="1980" w:right="0" w:firstLine="0"/>
        <w:jc w:val="left"/>
      </w:pPr>
      <w:r>
        <w:rPr>
          <w:rFonts w:ascii="Times New Roman" w:hAnsi="Times New Roman" w:eastAsia="Times New Roman"/>
          <w:b/>
          <w:i w:val="0"/>
          <w:color w:val="FF0000"/>
          <w:sz w:val="132"/>
        </w:rPr>
        <w:t xml:space="preserve">Conclusion </w:t>
      </w:r>
    </w:p>
    <w:p>
      <w:pPr>
        <w:autoSpaceDN w:val="0"/>
        <w:autoSpaceDE w:val="0"/>
        <w:widowControl/>
        <w:spacing w:line="266" w:lineRule="auto" w:before="2184" w:after="0"/>
        <w:ind w:left="1980" w:right="1116" w:firstLine="0"/>
        <w:jc w:val="both"/>
      </w:pP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Skillbridge demonstrates the effective use of artificial intelligence in a service- based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marketplace by connecting skilled workers with customers efficiently. Through AI-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powered recommendations, location-based matching, sentiment- based feedback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analysis, dynamic pricing, and secure face-recognition authentication, the platform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 xml:space="preserve">offers a reliable, transparent, and smarter alternative to traditional service-matching </w:t>
      </w:r>
      <w:r>
        <w:rPr>
          <w:rFonts w:ascii="Times NR MT Pro" w:hAnsi="Times NR MT Pro" w:eastAsia="Times NR MT Pro"/>
          <w:b w:val="0"/>
          <w:i w:val="0"/>
          <w:color w:val="000000"/>
          <w:sz w:val="72"/>
        </w:rPr>
        <w:t>systems.</w:t>
      </w:r>
    </w:p>
    <w:sectPr w:rsidR="00FC693F" w:rsidRPr="0006063C" w:rsidSect="00034616">
      <w:pgSz w:w="28800" w:h="1620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