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63114"/>
          <w:sz w:val="44"/>
        </w:rPr>
        <w:t>Shriram Financial Services</w:t>
      </w:r>
    </w:p>
    <w:p>
      <w:pPr>
        <w:jc w:val="center"/>
      </w:pPr>
      <w:r>
        <w:rPr>
          <w:color w:val="55584E"/>
          <w:sz w:val="28"/>
        </w:rPr>
        <w:t>Product Page Content — Equity &amp; Mutual Funds</w:t>
      </w:r>
    </w:p>
    <w:p>
      <w:pPr>
        <w:jc w:val="center"/>
      </w:pPr>
      <w:r>
        <w:rPr>
          <w:color w:val="AAAAAA"/>
          <w:sz w:val="18"/>
        </w:rPr>
        <w:t>Extracted June 2026 · For review and copywriting purposes</w:t>
      </w:r>
    </w:p>
    <w:p>
      <w:r>
        <w:br w:type="page"/>
      </w:r>
    </w:p>
    <w:p>
      <w:pPr>
        <w:spacing w:before="0" w:after="120"/>
      </w:pPr>
      <w:r>
        <w:rPr>
          <w:b/>
          <w:color w:val="263114"/>
          <w:sz w:val="56"/>
        </w:rPr>
        <w:t>PART 1 — EQUITY PAGE</w:t>
      </w:r>
    </w:p>
    <w:p>
      <w:pPr>
        <w:spacing w:before="40" w:after="120"/>
      </w:pPr>
      <w:r>
        <w:rPr>
          <w:color w:val="888888"/>
          <w:sz w:val="21"/>
        </w:rPr>
        <w:t>URL: /products/equity/</w:t>
      </w:r>
    </w:p>
    <w:p>
      <w:pPr>
        <w:spacing w:before="120" w:after="120"/>
      </w:pPr>
      <w:r>
        <w:rPr>
          <w:color w:val="CCCCCC"/>
          <w:sz w:val="16"/>
        </w:rPr>
        <w:t>────────────────────────────────────────────────────────────────────────────────</w:t>
      </w:r>
    </w:p>
    <w:p>
      <w:pPr>
        <w:spacing w:before="400" w:after="160"/>
        <w:shd w:val="clear" w:color="auto" w:fill="263114"/>
      </w:pPr>
      <w:r>
        <w:rPr>
          <w:b/>
          <w:color w:val="FFFFFF"/>
          <w:sz w:val="22"/>
        </w:rPr>
        <w:t xml:space="preserve">  SECTION 1 — HERO  </w:t>
      </w:r>
    </w:p>
    <w:p>
      <w:pPr>
        <w:spacing w:before="280" w:after="40"/>
      </w:pPr>
      <w:r>
        <w:rPr>
          <w:b/>
          <w:color w:val="F3B83F"/>
          <w:sz w:val="16"/>
        </w:rPr>
        <w:t>EQUITY INVESTING</w:t>
      </w:r>
    </w:p>
    <w:p>
      <w:pPr>
        <w:spacing w:before="320" w:after="80"/>
      </w:pPr>
      <w:r>
        <w:rPr>
          <w:b/>
          <w:color w:val="263114"/>
          <w:sz w:val="32"/>
        </w:rPr>
        <w:t>Build Long-Term Wealth Through Equity Investing</w:t>
      </w:r>
    </w:p>
    <w:p>
      <w:pPr>
        <w:spacing w:before="40" w:after="120"/>
      </w:pPr>
      <w:r>
        <w:rPr>
          <w:color w:val="55584E"/>
          <w:sz w:val="21"/>
        </w:rPr>
        <w:t>Buy and invest in equity stocks in India with live market data, deep research insights, stock analysis tools, and expert-backed guidance from Shriram Financial Services.</w:t>
      </w:r>
    </w:p>
    <w:p>
      <w:pPr>
        <w:spacing w:before="200" w:after="40"/>
      </w:pPr>
      <w:r>
        <w:rPr>
          <w:b/>
          <w:color w:val="202318"/>
          <w:sz w:val="24"/>
        </w:rPr>
        <w:t>Trust Badges</w:t>
      </w:r>
    </w:p>
    <w:p>
      <w:pPr>
        <w:pStyle w:val="ListBullet"/>
        <w:spacing w:before="20" w:after="20"/>
      </w:pPr>
      <w:r>
        <w:rPr>
          <w:color w:val="55584E"/>
          <w:sz w:val="20"/>
        </w:rPr>
        <w:t>SEBI-registered</w:t>
      </w:r>
    </w:p>
    <w:p>
      <w:pPr>
        <w:pStyle w:val="ListBullet"/>
        <w:spacing w:before="20" w:after="20"/>
      </w:pPr>
      <w:r>
        <w:rPr>
          <w:color w:val="55584E"/>
          <w:sz w:val="20"/>
        </w:rPr>
        <w:t>Full-service</w:t>
      </w:r>
    </w:p>
    <w:p>
      <w:pPr>
        <w:pStyle w:val="ListBullet"/>
        <w:spacing w:before="20" w:after="20"/>
      </w:pPr>
      <w:r>
        <w:rPr>
          <w:color w:val="55584E"/>
          <w:sz w:val="20"/>
        </w:rPr>
        <w:t>Research-led</w:t>
      </w:r>
    </w:p>
    <w:p>
      <w:pPr>
        <w:pStyle w:val="ListBullet"/>
        <w:spacing w:before="20" w:after="20"/>
      </w:pPr>
      <w:r>
        <w:rPr>
          <w:color w:val="55584E"/>
          <w:sz w:val="20"/>
        </w:rPr>
        <w:t>Transparent</w:t>
      </w:r>
    </w:p>
    <w:p>
      <w:pPr>
        <w:spacing w:before="200" w:after="40"/>
      </w:pPr>
      <w:r>
        <w:rPr>
          <w:b/>
          <w:color w:val="202318"/>
          <w:sz w:val="24"/>
        </w:rPr>
        <w:t>CTA Buttons</w:t>
      </w:r>
    </w:p>
    <w:p>
      <w:pPr>
        <w:pStyle w:val="ListBullet"/>
        <w:spacing w:before="20" w:after="20"/>
      </w:pPr>
      <w:r>
        <w:rPr>
          <w:color w:val="55584E"/>
          <w:sz w:val="20"/>
        </w:rPr>
        <w:t>Open Demat Account  →  /about/open-demat-account/</w:t>
      </w:r>
    </w:p>
    <w:p>
      <w:pPr>
        <w:pStyle w:val="ListBullet"/>
        <w:spacing w:before="20" w:after="20"/>
      </w:pPr>
      <w:r>
        <w:rPr>
          <w:color w:val="55584E"/>
          <w:sz w:val="20"/>
        </w:rPr>
        <w:t>Talk to RM  →  /about/support/</w:t>
      </w:r>
    </w:p>
    <w:p>
      <w:pPr>
        <w:spacing w:before="400" w:after="160"/>
        <w:shd w:val="clear" w:color="auto" w:fill="263114"/>
      </w:pPr>
      <w:r>
        <w:rPr>
          <w:b/>
          <w:color w:val="FFFFFF"/>
          <w:sz w:val="22"/>
        </w:rPr>
        <w:t xml:space="preserve">  SECTION 2 — WHAT ARE EQUITY STOCKS  </w:t>
      </w:r>
    </w:p>
    <w:p>
      <w:pPr>
        <w:spacing w:before="280" w:after="40"/>
      </w:pPr>
      <w:r>
        <w:rPr>
          <w:b/>
          <w:color w:val="F3B83F"/>
          <w:sz w:val="16"/>
        </w:rPr>
        <w:t>THE BASICS</w:t>
      </w:r>
    </w:p>
    <w:p>
      <w:pPr>
        <w:spacing w:before="320" w:after="80"/>
      </w:pPr>
      <w:r>
        <w:rPr>
          <w:b/>
          <w:color w:val="263114"/>
          <w:sz w:val="32"/>
        </w:rPr>
        <w:t>What Are Equity Stocks</w:t>
      </w:r>
    </w:p>
    <w:p>
      <w:pPr>
        <w:spacing w:before="40" w:after="120"/>
      </w:pPr>
      <w:r>
        <w:rPr>
          <w:color w:val="55584E"/>
          <w:sz w:val="21"/>
        </w:rPr>
        <w:t>Equity stocks, also known as shares, represent ownership in a company. When you purchase equity shares, you become a partial owner of that company and gain rights to a portion of its assets and earnings.</w:t>
      </w:r>
    </w:p>
    <w:p>
      <w:pPr>
        <w:spacing w:before="40" w:after="120"/>
      </w:pPr>
      <w:r>
        <w:rPr>
          <w:color w:val="55584E"/>
          <w:sz w:val="21"/>
        </w:rPr>
        <w:t>In India, equity shares are traded on two major exchanges: the National Stock Exchange (NSE) and the Bombay Stock Exchange (BSE). All trading activities are regulated by the Securities and Exchange Board of India (SEBI) to protect investor interests.</w:t>
      </w:r>
    </w:p>
    <w:p>
      <w:pPr>
        <w:spacing w:before="200" w:after="40"/>
      </w:pPr>
      <w:r>
        <w:rPr>
          <w:b/>
          <w:color w:val="202318"/>
          <w:sz w:val="24"/>
        </w:rPr>
        <w:t>Types of Equity Stocks</w:t>
      </w:r>
    </w:p>
    <w:p>
      <w:pPr>
        <w:spacing w:before="200" w:after="40"/>
      </w:pPr>
      <w:r>
        <w:rPr>
          <w:b/>
          <w:color w:val="202318"/>
          <w:sz w:val="24"/>
        </w:rPr>
        <w:t>Common Equity Shares</w:t>
      </w:r>
    </w:p>
    <w:p>
      <w:pPr>
        <w:spacing w:before="40" w:after="120"/>
      </w:pPr>
      <w:r>
        <w:rPr>
          <w:color w:val="55584E"/>
          <w:sz w:val="21"/>
        </w:rPr>
        <w:t>These are the most widely traded shares. Investors receive voting rights and participate in profits through dividends and price appreciation. Value stocks focus on capital appreciation. Blue-chip stocks represent large, stable companies. Penny stocks are low-priced, high-risk shares.</w:t>
      </w:r>
    </w:p>
    <w:p>
      <w:pPr>
        <w:spacing w:before="200" w:after="40"/>
      </w:pPr>
      <w:r>
        <w:rPr>
          <w:b/>
          <w:color w:val="202318"/>
          <w:sz w:val="24"/>
        </w:rPr>
        <w:t>Preferred Equity Shares</w:t>
      </w:r>
    </w:p>
    <w:p>
      <w:pPr>
        <w:spacing w:before="40" w:after="120"/>
      </w:pPr>
      <w:r>
        <w:rPr>
          <w:color w:val="55584E"/>
          <w:sz w:val="21"/>
        </w:rPr>
        <w:t>Preferred shareholders receive preference in dividend payments over common shareholders. However, these shares generally carry limited voting rights and trade at lower volatility.</w:t>
      </w:r>
    </w:p>
    <w:p>
      <w:pPr>
        <w:spacing w:before="400" w:after="160"/>
        <w:shd w:val="clear" w:color="auto" w:fill="263114"/>
      </w:pPr>
      <w:r>
        <w:rPr>
          <w:b/>
          <w:color w:val="FFFFFF"/>
          <w:sz w:val="22"/>
        </w:rPr>
        <w:t xml:space="preserve">  SECTION 3 — HOW STOCK MARKET WORKS IN INDIA  </w:t>
      </w:r>
    </w:p>
    <w:p>
      <w:pPr>
        <w:spacing w:before="280" w:after="40"/>
      </w:pPr>
      <w:r>
        <w:rPr>
          <w:b/>
          <w:color w:val="F3B83F"/>
          <w:sz w:val="16"/>
        </w:rPr>
        <w:t>MARKET STRUCTURE</w:t>
      </w:r>
    </w:p>
    <w:p>
      <w:pPr>
        <w:spacing w:before="320" w:after="80"/>
      </w:pPr>
      <w:r>
        <w:rPr>
          <w:b/>
          <w:color w:val="263114"/>
          <w:sz w:val="32"/>
        </w:rPr>
        <w:t>How Stock Market Works in India</w:t>
      </w:r>
    </w:p>
    <w:p>
      <w:pPr>
        <w:spacing w:before="40" w:after="120"/>
      </w:pPr>
      <w:r>
        <w:rPr>
          <w:color w:val="55584E"/>
          <w:sz w:val="21"/>
        </w:rPr>
        <w:t>The stock market in India functions through exchanges like the NSE (National Stock Exchange) and BSE (Bombay Stock Exchange). These platforms connect buyers and sellers of shares in a transparent, regulated environment.</w:t>
      </w:r>
    </w:p>
    <w:p>
      <w:pPr>
        <w:spacing w:before="200" w:after="40"/>
      </w:pPr>
      <w:r>
        <w:rPr>
          <w:b/>
          <w:color w:val="202318"/>
          <w:sz w:val="24"/>
        </w:rPr>
        <w:t>National Stock Exchange (NSE)</w:t>
      </w:r>
    </w:p>
    <w:p>
      <w:pPr>
        <w:spacing w:before="40" w:after="120"/>
      </w:pPr>
      <w:r>
        <w:rPr>
          <w:color w:val="55584E"/>
          <w:sz w:val="21"/>
        </w:rPr>
        <w:t>Founded in 1992, India's largest stock exchange by trading volume. Known for its technology-driven infrastructure, the NSE operates the NIFTY 50 index and offers electronic trading in equities, derivatives, currency, and debt instruments with high speed and transparency.</w:t>
      </w:r>
    </w:p>
    <w:p>
      <w:pPr>
        <w:spacing w:before="200" w:after="40"/>
      </w:pPr>
      <w:r>
        <w:rPr>
          <w:b/>
          <w:color w:val="202318"/>
          <w:sz w:val="24"/>
        </w:rPr>
        <w:t>Bombay Stock Exchange (BSE)</w:t>
      </w:r>
    </w:p>
    <w:p>
      <w:pPr>
        <w:spacing w:before="40" w:after="120"/>
      </w:pPr>
      <w:r>
        <w:rPr>
          <w:color w:val="55584E"/>
          <w:sz w:val="21"/>
        </w:rPr>
        <w:t>Established in 1875, Asia's oldest stock exchange. The BSE lists over 5,000 companies and operates the SENSEX index, tracking the top 30 companies. It serves as the primary exchange for large-cap listed companies and institutional investors across India.</w:t>
      </w:r>
    </w:p>
    <w:p>
      <w:pPr>
        <w:spacing w:before="400" w:after="160"/>
        <w:shd w:val="clear" w:color="auto" w:fill="263114"/>
      </w:pPr>
      <w:r>
        <w:rPr>
          <w:b/>
          <w:color w:val="FFFFFF"/>
          <w:sz w:val="22"/>
        </w:rPr>
        <w:t xml:space="preserve">  SECTION 4 — ELIGIBILITY &amp; DOCUMENTS REQUIRED  </w:t>
      </w:r>
    </w:p>
    <w:p>
      <w:pPr>
        <w:spacing w:before="280" w:after="40"/>
      </w:pPr>
      <w:r>
        <w:rPr>
          <w:b/>
          <w:color w:val="F3B83F"/>
          <w:sz w:val="16"/>
        </w:rPr>
        <w:t>REQUIREMENTS</w:t>
      </w:r>
    </w:p>
    <w:p>
      <w:pPr>
        <w:spacing w:before="320" w:after="80"/>
      </w:pPr>
      <w:r>
        <w:rPr>
          <w:b/>
          <w:color w:val="263114"/>
          <w:sz w:val="32"/>
        </w:rPr>
        <w:t>Eligibility &amp; Documents Required</w:t>
      </w:r>
    </w:p>
    <w:p>
      <w:pPr>
        <w:spacing w:before="40" w:after="120"/>
      </w:pPr>
      <w:r>
        <w:rPr>
          <w:color w:val="55584E"/>
          <w:sz w:val="21"/>
        </w:rPr>
        <w:t>Check the eligibility and the documents required for starting your equity journey.</w:t>
      </w:r>
    </w:p>
    <w:p>
      <w:pPr>
        <w:spacing w:before="200" w:after="40"/>
      </w:pPr>
      <w:r>
        <w:rPr>
          <w:b/>
          <w:color w:val="202318"/>
          <w:sz w:val="24"/>
        </w:rPr>
        <w:t>Eligibility Criteria</w:t>
      </w:r>
    </w:p>
    <w:p>
      <w:pPr>
        <w:pStyle w:val="ListBullet"/>
        <w:spacing w:before="20" w:after="20"/>
      </w:pPr>
      <w:r>
        <w:rPr>
          <w:color w:val="55584E"/>
          <w:sz w:val="20"/>
        </w:rPr>
        <w:t>Indian resident (100%) or minor if guardian opens the account</w:t>
      </w:r>
    </w:p>
    <w:p>
      <w:pPr>
        <w:pStyle w:val="ListBullet"/>
        <w:spacing w:before="20" w:after="20"/>
      </w:pPr>
      <w:r>
        <w:rPr>
          <w:color w:val="55584E"/>
          <w:sz w:val="20"/>
        </w:rPr>
        <w:t>Valid PAN Card mandatory for all account holders</w:t>
      </w:r>
    </w:p>
    <w:p>
      <w:pPr>
        <w:pStyle w:val="ListBullet"/>
        <w:spacing w:before="20" w:after="20"/>
      </w:pPr>
      <w:r>
        <w:rPr>
          <w:color w:val="55584E"/>
          <w:sz w:val="20"/>
        </w:rPr>
        <w:t>Valid KYC as per SEBI regulations for legal entities</w:t>
      </w:r>
    </w:p>
    <w:p>
      <w:pPr>
        <w:pStyle w:val="ListBullet"/>
        <w:spacing w:before="20" w:after="20"/>
      </w:pPr>
      <w:r>
        <w:rPr>
          <w:color w:val="55584E"/>
          <w:sz w:val="20"/>
        </w:rPr>
        <w:t>For NRI: RBI-approved broker and NRE/NRO bank account required</w:t>
      </w:r>
    </w:p>
    <w:p>
      <w:pPr>
        <w:pStyle w:val="ListBullet"/>
        <w:spacing w:before="20" w:after="20"/>
      </w:pPr>
      <w:r>
        <w:rPr>
          <w:color w:val="55584E"/>
          <w:sz w:val="20"/>
        </w:rPr>
        <w:t>Age 18+ years for independent account opening</w:t>
      </w:r>
    </w:p>
    <w:p>
      <w:pPr>
        <w:pStyle w:val="ListBullet"/>
        <w:spacing w:before="20" w:after="20"/>
      </w:pPr>
      <w:r>
        <w:rPr>
          <w:color w:val="55584E"/>
          <w:sz w:val="20"/>
        </w:rPr>
        <w:t>For minors, guardian's PAN and signature are required</w:t>
      </w:r>
    </w:p>
    <w:p>
      <w:pPr>
        <w:spacing w:before="200" w:after="40"/>
      </w:pPr>
      <w:r>
        <w:rPr>
          <w:b/>
          <w:color w:val="202318"/>
          <w:sz w:val="24"/>
        </w:rPr>
        <w:t>Documents Required</w:t>
      </w:r>
    </w:p>
    <w:p>
      <w:pPr>
        <w:pStyle w:val="ListBullet"/>
        <w:spacing w:before="20" w:after="20"/>
      </w:pPr>
      <w:r>
        <w:rPr>
          <w:color w:val="55584E"/>
          <w:sz w:val="20"/>
        </w:rPr>
        <w:t>PAN Card / Form 60 (for NRI accounts)</w:t>
      </w:r>
    </w:p>
    <w:p>
      <w:pPr>
        <w:pStyle w:val="ListBullet"/>
        <w:spacing w:before="20" w:after="20"/>
      </w:pPr>
      <w:r>
        <w:rPr>
          <w:color w:val="55584E"/>
          <w:sz w:val="20"/>
        </w:rPr>
        <w:t>Address Proof — Aadhaar / Passport / Driver's Licence / Utility Bill</w:t>
      </w:r>
    </w:p>
    <w:p>
      <w:pPr>
        <w:pStyle w:val="ListBullet"/>
        <w:spacing w:before="20" w:after="20"/>
      </w:pPr>
      <w:r>
        <w:rPr>
          <w:color w:val="55584E"/>
          <w:sz w:val="20"/>
        </w:rPr>
        <w:t>Bank Account Details — cancelled cheque or latest bank statement</w:t>
      </w:r>
    </w:p>
    <w:p>
      <w:pPr>
        <w:pStyle w:val="ListBullet"/>
        <w:spacing w:before="20" w:after="20"/>
      </w:pPr>
      <w:r>
        <w:rPr>
          <w:color w:val="55584E"/>
          <w:sz w:val="20"/>
        </w:rPr>
        <w:t>Passport-size photograph (JPEG format)</w:t>
      </w:r>
    </w:p>
    <w:p>
      <w:pPr>
        <w:spacing w:before="400" w:after="160"/>
        <w:shd w:val="clear" w:color="auto" w:fill="263114"/>
      </w:pPr>
      <w:r>
        <w:rPr>
          <w:b/>
          <w:color w:val="FFFFFF"/>
          <w:sz w:val="22"/>
        </w:rPr>
        <w:t xml:space="preserve">  SECTION 5 — HOW TO START INVESTING  </w:t>
      </w:r>
    </w:p>
    <w:p>
      <w:pPr>
        <w:spacing w:before="280" w:after="40"/>
      </w:pPr>
      <w:r>
        <w:rPr>
          <w:b/>
          <w:color w:val="F3B83F"/>
          <w:sz w:val="16"/>
        </w:rPr>
        <w:t>GETTING STARTED</w:t>
      </w:r>
    </w:p>
    <w:p>
      <w:pPr>
        <w:spacing w:before="320" w:after="80"/>
      </w:pPr>
      <w:r>
        <w:rPr>
          <w:b/>
          <w:color w:val="263114"/>
          <w:sz w:val="32"/>
        </w:rPr>
        <w:t>How to Start Investing</w:t>
      </w:r>
    </w:p>
    <w:p>
      <w:pPr>
        <w:spacing w:before="200" w:after="40"/>
      </w:pPr>
      <w:r>
        <w:rPr>
          <w:b/>
          <w:color w:val="202318"/>
          <w:sz w:val="24"/>
        </w:rPr>
        <w:t>Step 01 — Open Demat + Trading Account</w:t>
      </w:r>
    </w:p>
    <w:p>
      <w:pPr>
        <w:spacing w:before="40" w:after="120"/>
      </w:pPr>
      <w:r>
        <w:rPr>
          <w:color w:val="55584E"/>
          <w:sz w:val="21"/>
        </w:rPr>
        <w:t>Register digitally on the Shriram platform. Link your existing Demat account or open a new one — fully paperless.</w:t>
      </w:r>
    </w:p>
    <w:p>
      <w:pPr>
        <w:spacing w:before="200" w:after="40"/>
      </w:pPr>
      <w:r>
        <w:rPr>
          <w:b/>
          <w:color w:val="202318"/>
          <w:sz w:val="24"/>
        </w:rPr>
        <w:t>Step 02 — Complete PAN / KYC / Bank Linking</w:t>
      </w:r>
    </w:p>
    <w:p>
      <w:pPr>
        <w:spacing w:before="40" w:after="120"/>
      </w:pPr>
      <w:r>
        <w:rPr>
          <w:color w:val="55584E"/>
          <w:sz w:val="21"/>
        </w:rPr>
        <w:t>Submit your PAN, complete e-KYC via Aadhaar OTP, and link your bank account for instant fund transfers.</w:t>
      </w:r>
    </w:p>
    <w:p>
      <w:pPr>
        <w:spacing w:before="200" w:after="40"/>
      </w:pPr>
      <w:r>
        <w:rPr>
          <w:b/>
          <w:color w:val="202318"/>
          <w:sz w:val="24"/>
        </w:rPr>
        <w:t>Step 03 — Search and Analyse Stocks</w:t>
      </w:r>
    </w:p>
    <w:p>
      <w:pPr>
        <w:spacing w:before="40" w:after="120"/>
      </w:pPr>
      <w:r>
        <w:rPr>
          <w:color w:val="55584E"/>
          <w:sz w:val="21"/>
        </w:rPr>
        <w:t>Use our research desk, stock screener, and SEBI-registered analyst recommendations to shortlist stocks.</w:t>
      </w:r>
    </w:p>
    <w:p>
      <w:pPr>
        <w:spacing w:before="200" w:after="40"/>
      </w:pPr>
      <w:r>
        <w:rPr>
          <w:b/>
          <w:color w:val="202318"/>
          <w:sz w:val="24"/>
        </w:rPr>
        <w:t>Step 04 — Buy, Hold, Sell &amp; Track</w:t>
      </w:r>
    </w:p>
    <w:p>
      <w:pPr>
        <w:spacing w:before="40" w:after="120"/>
      </w:pPr>
      <w:r>
        <w:rPr>
          <w:color w:val="55584E"/>
          <w:sz w:val="21"/>
        </w:rPr>
        <w:t>Place orders on NSE or BSE, monitor real-time P&amp;L, and manage your portfolio via the Antara app.</w:t>
      </w:r>
    </w:p>
    <w:p>
      <w:pPr>
        <w:spacing w:before="400" w:after="160"/>
        <w:shd w:val="clear" w:color="auto" w:fill="263114"/>
      </w:pPr>
      <w:r>
        <w:rPr>
          <w:b/>
          <w:color w:val="FFFFFF"/>
          <w:sz w:val="22"/>
        </w:rPr>
        <w:t xml:space="preserve">  SECTION 6 — BROKERAGE &amp; CHARGES  </w:t>
      </w:r>
    </w:p>
    <w:p>
      <w:pPr>
        <w:spacing w:before="280" w:after="40"/>
      </w:pPr>
      <w:r>
        <w:rPr>
          <w:b/>
          <w:color w:val="F3B83F"/>
          <w:sz w:val="16"/>
        </w:rPr>
        <w:t>COSTS</w:t>
      </w:r>
    </w:p>
    <w:p>
      <w:pPr>
        <w:spacing w:before="320" w:after="80"/>
      </w:pPr>
      <w:r>
        <w:rPr>
          <w:b/>
          <w:color w:val="263114"/>
          <w:sz w:val="32"/>
        </w:rPr>
        <w:t>Brokerage &amp; Charges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263114"/>
          </w:tcPr>
          <w:p>
            <w:r/>
            <w:r>
              <w:rPr>
                <w:b/>
                <w:color w:val="F3B83F"/>
                <w:sz w:val="18"/>
              </w:rPr>
              <w:t>Charge Type</w:t>
            </w:r>
          </w:p>
        </w:tc>
        <w:tc>
          <w:tcPr>
            <w:tcW w:type="dxa" w:w="3600"/>
            <w:shd w:val="clear" w:color="auto" w:fill="263114"/>
          </w:tcPr>
          <w:p>
            <w:r/>
            <w:r>
              <w:rPr>
                <w:b/>
                <w:color w:val="F3B83F"/>
                <w:sz w:val="18"/>
              </w:rPr>
              <w:t>Delivery Equity</w:t>
            </w:r>
          </w:p>
        </w:tc>
        <w:tc>
          <w:tcPr>
            <w:tcW w:type="dxa" w:w="3600"/>
            <w:shd w:val="clear" w:color="auto" w:fill="263114"/>
          </w:tcPr>
          <w:p>
            <w:r/>
            <w:r>
              <w:rPr>
                <w:b/>
                <w:color w:val="F3B83F"/>
                <w:sz w:val="18"/>
              </w:rPr>
              <w:t>Intraday</w:t>
            </w:r>
          </w:p>
        </w:tc>
      </w:tr>
      <w:tr>
        <w:tc>
          <w:tcPr>
            <w:tcW w:type="dxa" w:w="2592"/>
            <w:shd w:val="clear" w:color="auto" w:fill="F8F6F1"/>
          </w:tcPr>
          <w:p>
            <w:r/>
            <w:r>
              <w:rPr>
                <w:b/>
                <w:color w:val="202318"/>
                <w:sz w:val="20"/>
              </w:rPr>
              <w:t>Brokerage</w:t>
            </w:r>
          </w:p>
        </w:tc>
        <w:tc>
          <w:tcPr>
            <w:tcW w:type="dxa" w:w="3600"/>
            <w:shd w:val="clear" w:color="auto" w:fill="F8F6F1"/>
          </w:tcPr>
          <w:p>
            <w:r/>
            <w:r>
              <w:rPr>
                <w:b w:val="0"/>
                <w:color w:val="55584E"/>
                <w:sz w:val="20"/>
              </w:rPr>
              <w:t>₹0 (Zero)</w:t>
            </w:r>
          </w:p>
        </w:tc>
        <w:tc>
          <w:tcPr>
            <w:tcW w:type="dxa" w:w="3600"/>
            <w:shd w:val="clear" w:color="auto" w:fill="F8F6F1"/>
          </w:tcPr>
          <w:p>
            <w:r/>
            <w:r>
              <w:rPr>
                <w:b w:val="0"/>
                <w:color w:val="55584E"/>
                <w:sz w:val="20"/>
              </w:rPr>
              <w:t>₹20 per executed order</w:t>
            </w:r>
          </w:p>
        </w:tc>
      </w:tr>
      <w:tr>
        <w:tc>
          <w:tcPr>
            <w:tcW w:type="dxa" w:w="2592"/>
            <w:shd w:val="clear" w:color="auto" w:fill="FFFFFF"/>
          </w:tcPr>
          <w:p>
            <w:r/>
            <w:r>
              <w:rPr>
                <w:b/>
                <w:color w:val="202318"/>
                <w:sz w:val="20"/>
              </w:rPr>
              <w:t>STT</w:t>
            </w:r>
          </w:p>
        </w:tc>
        <w:tc>
          <w:tcPr>
            <w:tcW w:type="dxa" w:w="3600"/>
            <w:shd w:val="clear" w:color="auto" w:fill="FFFFFF"/>
          </w:tcPr>
          <w:p>
            <w:r/>
            <w:r>
              <w:rPr>
                <w:b w:val="0"/>
                <w:color w:val="55584E"/>
                <w:sz w:val="20"/>
              </w:rPr>
              <w:t>0.1% on sell side</w:t>
            </w:r>
          </w:p>
        </w:tc>
        <w:tc>
          <w:tcPr>
            <w:tcW w:type="dxa" w:w="3600"/>
            <w:shd w:val="clear" w:color="auto" w:fill="FFFFFF"/>
          </w:tcPr>
          <w:p>
            <w:r/>
            <w:r>
              <w:rPr>
                <w:b w:val="0"/>
                <w:color w:val="55584E"/>
                <w:sz w:val="20"/>
              </w:rPr>
              <w:t>0.025% on buy &amp; sell side</w:t>
            </w:r>
          </w:p>
        </w:tc>
      </w:tr>
      <w:tr>
        <w:tc>
          <w:tcPr>
            <w:tcW w:type="dxa" w:w="2592"/>
            <w:shd w:val="clear" w:color="auto" w:fill="F8F6F1"/>
          </w:tcPr>
          <w:p>
            <w:r/>
            <w:r>
              <w:rPr>
                <w:b/>
                <w:color w:val="202318"/>
                <w:sz w:val="20"/>
              </w:rPr>
              <w:t>GST</w:t>
            </w:r>
          </w:p>
        </w:tc>
        <w:tc>
          <w:tcPr>
            <w:tcW w:type="dxa" w:w="3600"/>
            <w:shd w:val="clear" w:color="auto" w:fill="F8F6F1"/>
          </w:tcPr>
          <w:p>
            <w:r/>
            <w:r>
              <w:rPr>
                <w:b w:val="0"/>
                <w:color w:val="55584E"/>
                <w:sz w:val="20"/>
              </w:rPr>
              <w:t>18% on brokerage + exchange charges</w:t>
            </w:r>
          </w:p>
        </w:tc>
        <w:tc>
          <w:tcPr>
            <w:tcW w:type="dxa" w:w="3600"/>
            <w:shd w:val="clear" w:color="auto" w:fill="F8F6F1"/>
          </w:tcPr>
          <w:p>
            <w:r/>
            <w:r>
              <w:rPr>
                <w:b w:val="0"/>
                <w:color w:val="55584E"/>
                <w:sz w:val="20"/>
              </w:rPr>
              <w:t>18% on brokerage + exchange charges</w:t>
            </w:r>
          </w:p>
        </w:tc>
      </w:tr>
      <w:tr>
        <w:tc>
          <w:tcPr>
            <w:tcW w:type="dxa" w:w="2592"/>
            <w:shd w:val="clear" w:color="auto" w:fill="FFFFFF"/>
          </w:tcPr>
          <w:p>
            <w:r/>
            <w:r>
              <w:rPr>
                <w:b/>
                <w:color w:val="202318"/>
                <w:sz w:val="20"/>
              </w:rPr>
              <w:t>DP Charges</w:t>
            </w:r>
          </w:p>
        </w:tc>
        <w:tc>
          <w:tcPr>
            <w:tcW w:type="dxa" w:w="3600"/>
            <w:shd w:val="clear" w:color="auto" w:fill="FFFFFF"/>
          </w:tcPr>
          <w:p>
            <w:r/>
            <w:r>
              <w:rPr>
                <w:b w:val="0"/>
                <w:color w:val="55584E"/>
                <w:sz w:val="20"/>
              </w:rPr>
              <w:t>₹15.93 per scrip on sell</w:t>
            </w:r>
          </w:p>
        </w:tc>
        <w:tc>
          <w:tcPr>
            <w:tcW w:type="dxa" w:w="3600"/>
            <w:shd w:val="clear" w:color="auto" w:fill="FFFFFF"/>
          </w:tcPr>
          <w:p>
            <w:r/>
            <w:r>
              <w:rPr>
                <w:b w:val="0"/>
                <w:color w:val="55584E"/>
                <w:sz w:val="20"/>
              </w:rPr>
              <w:t>N/A</w:t>
            </w:r>
          </w:p>
        </w:tc>
      </w:tr>
      <w:tr>
        <w:tc>
          <w:tcPr>
            <w:tcW w:type="dxa" w:w="2592"/>
            <w:shd w:val="clear" w:color="auto" w:fill="F8F6F1"/>
          </w:tcPr>
          <w:p>
            <w:r/>
            <w:r>
              <w:rPr>
                <w:b/>
                <w:color w:val="202318"/>
                <w:sz w:val="20"/>
              </w:rPr>
              <w:t>Exchange Charges</w:t>
            </w:r>
          </w:p>
        </w:tc>
        <w:tc>
          <w:tcPr>
            <w:tcW w:type="dxa" w:w="3600"/>
            <w:shd w:val="clear" w:color="auto" w:fill="F8F6F1"/>
          </w:tcPr>
          <w:p>
            <w:r/>
            <w:r>
              <w:rPr>
                <w:b w:val="0"/>
                <w:color w:val="55584E"/>
                <w:sz w:val="20"/>
              </w:rPr>
              <w:t>0.00345% (NSE) / 0.00375% (BSE)</w:t>
            </w:r>
          </w:p>
        </w:tc>
        <w:tc>
          <w:tcPr>
            <w:tcW w:type="dxa" w:w="3600"/>
            <w:shd w:val="clear" w:color="auto" w:fill="F8F6F1"/>
          </w:tcPr>
          <w:p>
            <w:r/>
            <w:r>
              <w:rPr>
                <w:b w:val="0"/>
                <w:color w:val="55584E"/>
                <w:sz w:val="20"/>
              </w:rPr>
              <w:t>0.00345% (NSE) / 0.00375% (BSE)</w:t>
            </w:r>
          </w:p>
        </w:tc>
      </w:tr>
    </w:tbl>
    <w:p/>
    <w:p>
      <w:pPr>
        <w:spacing w:before="400" w:after="160"/>
        <w:shd w:val="clear" w:color="auto" w:fill="263114"/>
      </w:pPr>
      <w:r>
        <w:rPr>
          <w:b/>
          <w:color w:val="FFFFFF"/>
          <w:sz w:val="22"/>
        </w:rPr>
        <w:t xml:space="preserve">  SECTION 7 — TAX ON EQUITY STOCKS — LTCG &amp; STCG  </w:t>
      </w:r>
    </w:p>
    <w:p>
      <w:pPr>
        <w:spacing w:before="280" w:after="40"/>
      </w:pPr>
      <w:r>
        <w:rPr>
          <w:b/>
          <w:color w:val="F3B83F"/>
          <w:sz w:val="16"/>
        </w:rPr>
        <w:t>TAXATION</w:t>
      </w:r>
    </w:p>
    <w:p>
      <w:pPr>
        <w:spacing w:before="320" w:after="80"/>
      </w:pPr>
      <w:r>
        <w:rPr>
          <w:b/>
          <w:color w:val="263114"/>
          <w:sz w:val="32"/>
        </w:rPr>
        <w:t>Tax on Equity Stocks — LTCG &amp; STCG</w:t>
      </w:r>
    </w:p>
    <w:p>
      <w:pPr>
        <w:spacing w:before="40" w:after="120"/>
      </w:pPr>
      <w:r>
        <w:rPr>
          <w:color w:val="55584E"/>
          <w:sz w:val="21"/>
        </w:rPr>
        <w:t>Understanding capital gains tax helps you plan your exit strategy and keep more of your returns.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263114"/>
          </w:tcPr>
          <w:p>
            <w:r/>
            <w:r>
              <w:rPr>
                <w:b/>
                <w:color w:val="F3B83F"/>
                <w:sz w:val="18"/>
              </w:rPr>
              <w:t>Feature</w:t>
            </w:r>
          </w:p>
        </w:tc>
        <w:tc>
          <w:tcPr>
            <w:tcW w:type="dxa" w:w="3600"/>
            <w:shd w:val="clear" w:color="auto" w:fill="263114"/>
          </w:tcPr>
          <w:p>
            <w:r/>
            <w:r>
              <w:rPr>
                <w:b/>
                <w:color w:val="F3B83F"/>
                <w:sz w:val="18"/>
              </w:rPr>
              <w:t>Short Term (STCG)</w:t>
            </w:r>
          </w:p>
        </w:tc>
        <w:tc>
          <w:tcPr>
            <w:tcW w:type="dxa" w:w="3600"/>
            <w:shd w:val="clear" w:color="auto" w:fill="263114"/>
          </w:tcPr>
          <w:p>
            <w:r/>
            <w:r>
              <w:rPr>
                <w:b/>
                <w:color w:val="F3B83F"/>
                <w:sz w:val="18"/>
              </w:rPr>
              <w:t>Long Term (LTCG)</w:t>
            </w:r>
          </w:p>
        </w:tc>
      </w:tr>
      <w:tr>
        <w:tc>
          <w:tcPr>
            <w:tcW w:type="dxa" w:w="2592"/>
            <w:shd w:val="clear" w:color="auto" w:fill="F8F6F1"/>
          </w:tcPr>
          <w:p>
            <w:r/>
            <w:r>
              <w:rPr>
                <w:b/>
                <w:color w:val="202318"/>
                <w:sz w:val="20"/>
              </w:rPr>
              <w:t>Holding Period</w:t>
            </w:r>
          </w:p>
        </w:tc>
        <w:tc>
          <w:tcPr>
            <w:tcW w:type="dxa" w:w="3600"/>
            <w:shd w:val="clear" w:color="auto" w:fill="F8F6F1"/>
          </w:tcPr>
          <w:p>
            <w:r/>
            <w:r>
              <w:rPr>
                <w:b w:val="0"/>
                <w:color w:val="55584E"/>
                <w:sz w:val="20"/>
              </w:rPr>
              <w:t>Up to 12 months</w:t>
            </w:r>
          </w:p>
        </w:tc>
        <w:tc>
          <w:tcPr>
            <w:tcW w:type="dxa" w:w="3600"/>
            <w:shd w:val="clear" w:color="auto" w:fill="F8F6F1"/>
          </w:tcPr>
          <w:p>
            <w:r/>
            <w:r>
              <w:rPr>
                <w:b w:val="0"/>
                <w:color w:val="55584E"/>
                <w:sz w:val="20"/>
              </w:rPr>
              <w:t>More than 12 months</w:t>
            </w:r>
          </w:p>
        </w:tc>
      </w:tr>
      <w:tr>
        <w:tc>
          <w:tcPr>
            <w:tcW w:type="dxa" w:w="2592"/>
            <w:shd w:val="clear" w:color="auto" w:fill="FFFFFF"/>
          </w:tcPr>
          <w:p>
            <w:r/>
            <w:r>
              <w:rPr>
                <w:b/>
                <w:color w:val="202318"/>
                <w:sz w:val="20"/>
              </w:rPr>
              <w:t>Tax Rate</w:t>
            </w:r>
          </w:p>
        </w:tc>
        <w:tc>
          <w:tcPr>
            <w:tcW w:type="dxa" w:w="3600"/>
            <w:shd w:val="clear" w:color="auto" w:fill="FFFFFF"/>
          </w:tcPr>
          <w:p>
            <w:r/>
            <w:r>
              <w:rPr>
                <w:b w:val="0"/>
                <w:color w:val="55584E"/>
                <w:sz w:val="20"/>
              </w:rPr>
              <w:t>20% Flat</w:t>
            </w:r>
          </w:p>
        </w:tc>
        <w:tc>
          <w:tcPr>
            <w:tcW w:type="dxa" w:w="3600"/>
            <w:shd w:val="clear" w:color="auto" w:fill="FFFFFF"/>
          </w:tcPr>
          <w:p>
            <w:r/>
            <w:r>
              <w:rPr>
                <w:b w:val="0"/>
                <w:color w:val="55584E"/>
                <w:sz w:val="20"/>
              </w:rPr>
              <w:t>12.5%</w:t>
            </w:r>
          </w:p>
        </w:tc>
      </w:tr>
      <w:tr>
        <w:tc>
          <w:tcPr>
            <w:tcW w:type="dxa" w:w="2592"/>
            <w:shd w:val="clear" w:color="auto" w:fill="F8F6F1"/>
          </w:tcPr>
          <w:p>
            <w:r/>
            <w:r>
              <w:rPr>
                <w:b/>
                <w:color w:val="202318"/>
                <w:sz w:val="20"/>
              </w:rPr>
              <w:t>Tax-Free Limit</w:t>
            </w:r>
          </w:p>
        </w:tc>
        <w:tc>
          <w:tcPr>
            <w:tcW w:type="dxa" w:w="3600"/>
            <w:shd w:val="clear" w:color="auto" w:fill="F8F6F1"/>
          </w:tcPr>
          <w:p>
            <w:r/>
            <w:r>
              <w:rPr>
                <w:b w:val="0"/>
                <w:color w:val="55584E"/>
                <w:sz w:val="20"/>
              </w:rPr>
              <w:t>Nil (taxed from ₹1)</w:t>
            </w:r>
          </w:p>
        </w:tc>
        <w:tc>
          <w:tcPr>
            <w:tcW w:type="dxa" w:w="3600"/>
            <w:shd w:val="clear" w:color="auto" w:fill="F8F6F1"/>
          </w:tcPr>
          <w:p>
            <w:r/>
            <w:r>
              <w:rPr>
                <w:b w:val="0"/>
                <w:color w:val="55584E"/>
                <w:sz w:val="20"/>
              </w:rPr>
              <w:t>Up to ₹1.25 Lakh per year</w:t>
            </w:r>
          </w:p>
        </w:tc>
      </w:tr>
      <w:tr>
        <w:tc>
          <w:tcPr>
            <w:tcW w:type="dxa" w:w="2592"/>
            <w:shd w:val="clear" w:color="auto" w:fill="FFFFFF"/>
          </w:tcPr>
          <w:p>
            <w:r/>
            <w:r>
              <w:rPr>
                <w:b/>
                <w:color w:val="202318"/>
                <w:sz w:val="20"/>
              </w:rPr>
              <w:t>Indexation Benefit</w:t>
            </w:r>
          </w:p>
        </w:tc>
        <w:tc>
          <w:tcPr>
            <w:tcW w:type="dxa" w:w="3600"/>
            <w:shd w:val="clear" w:color="auto" w:fill="FFFFFF"/>
          </w:tcPr>
          <w:p>
            <w:r/>
            <w:r>
              <w:rPr>
                <w:b w:val="0"/>
                <w:color w:val="55584E"/>
                <w:sz w:val="20"/>
              </w:rPr>
              <w:t>Not Applicable</w:t>
            </w:r>
          </w:p>
        </w:tc>
        <w:tc>
          <w:tcPr>
            <w:tcW w:type="dxa" w:w="3600"/>
            <w:shd w:val="clear" w:color="auto" w:fill="FFFFFF"/>
          </w:tcPr>
          <w:p>
            <w:r/>
            <w:r>
              <w:rPr>
                <w:b w:val="0"/>
                <w:color w:val="55584E"/>
                <w:sz w:val="20"/>
              </w:rPr>
              <w:t>Not Applicable</w:t>
            </w:r>
          </w:p>
        </w:tc>
      </w:tr>
      <w:tr>
        <w:tc>
          <w:tcPr>
            <w:tcW w:type="dxa" w:w="2592"/>
            <w:shd w:val="clear" w:color="auto" w:fill="F8F6F1"/>
          </w:tcPr>
          <w:p>
            <w:r/>
            <w:r>
              <w:rPr>
                <w:b/>
                <w:color w:val="202318"/>
                <w:sz w:val="20"/>
              </w:rPr>
              <w:t>Applicable Section</w:t>
            </w:r>
          </w:p>
        </w:tc>
        <w:tc>
          <w:tcPr>
            <w:tcW w:type="dxa" w:w="3600"/>
            <w:shd w:val="clear" w:color="auto" w:fill="F8F6F1"/>
          </w:tcPr>
          <w:p>
            <w:r/>
            <w:r>
              <w:rPr>
                <w:b w:val="0"/>
                <w:color w:val="55584E"/>
                <w:sz w:val="20"/>
              </w:rPr>
              <w:t>Section 70A</w:t>
            </w:r>
          </w:p>
        </w:tc>
        <w:tc>
          <w:tcPr>
            <w:tcW w:type="dxa" w:w="3600"/>
            <w:shd w:val="clear" w:color="auto" w:fill="F8F6F1"/>
          </w:tcPr>
          <w:p>
            <w:r/>
            <w:r>
              <w:rPr>
                <w:b w:val="0"/>
                <w:color w:val="55584E"/>
                <w:sz w:val="20"/>
              </w:rPr>
              <w:t>Section 70A</w:t>
            </w:r>
          </w:p>
        </w:tc>
      </w:tr>
    </w:tbl>
    <w:p/>
    <w:p>
      <w:pPr>
        <w:spacing w:before="400" w:after="160"/>
        <w:shd w:val="clear" w:color="auto" w:fill="263114"/>
      </w:pPr>
      <w:r>
        <w:rPr>
          <w:b/>
          <w:color w:val="FFFFFF"/>
          <w:sz w:val="22"/>
        </w:rPr>
        <w:t xml:space="preserve">  SECTION 8 — TYPES OF EQUITY STOCKS — CATEGORIES EXPLAINED  </w:t>
      </w:r>
    </w:p>
    <w:p>
      <w:pPr>
        <w:spacing w:before="280" w:after="40"/>
      </w:pPr>
      <w:r>
        <w:rPr>
          <w:b/>
          <w:color w:val="F3B83F"/>
          <w:sz w:val="16"/>
        </w:rPr>
        <w:t>CATEGORIES</w:t>
      </w:r>
    </w:p>
    <w:p>
      <w:pPr>
        <w:spacing w:before="320" w:after="80"/>
      </w:pPr>
      <w:r>
        <w:rPr>
          <w:b/>
          <w:color w:val="263114"/>
          <w:sz w:val="32"/>
        </w:rPr>
        <w:t>Types of Equity Stocks — Categories Explained</w:t>
      </w:r>
    </w:p>
    <w:p>
      <w:pPr>
        <w:spacing w:before="200" w:after="40"/>
      </w:pPr>
      <w:r>
        <w:rPr>
          <w:b/>
          <w:color w:val="202318"/>
          <w:sz w:val="24"/>
        </w:rPr>
        <w:t>Large Cap</w:t>
      </w:r>
    </w:p>
    <w:p>
      <w:pPr>
        <w:spacing w:before="40" w:after="120"/>
      </w:pPr>
      <w:r>
        <w:rPr>
          <w:color w:val="55584E"/>
          <w:sz w:val="21"/>
        </w:rPr>
        <w:t>Top 100 companies by market cap. Stable, low-risk, ideal for long-term wealth building.</w:t>
      </w:r>
    </w:p>
    <w:p>
      <w:pPr>
        <w:spacing w:before="200" w:after="40"/>
      </w:pPr>
      <w:r>
        <w:rPr>
          <w:b/>
          <w:color w:val="202318"/>
          <w:sz w:val="24"/>
        </w:rPr>
        <w:t>Mid Cap</w:t>
      </w:r>
    </w:p>
    <w:p>
      <w:pPr>
        <w:spacing w:before="40" w:after="120"/>
      </w:pPr>
      <w:r>
        <w:rPr>
          <w:color w:val="55584E"/>
          <w:sz w:val="21"/>
        </w:rPr>
        <w:t>Companies ranked 101–250 by market cap. Balanced risk and growth potential.</w:t>
      </w:r>
    </w:p>
    <w:p>
      <w:pPr>
        <w:spacing w:before="200" w:after="40"/>
      </w:pPr>
      <w:r>
        <w:rPr>
          <w:b/>
          <w:color w:val="202318"/>
          <w:sz w:val="24"/>
        </w:rPr>
        <w:t>Small Cap</w:t>
      </w:r>
    </w:p>
    <w:p>
      <w:pPr>
        <w:spacing w:before="40" w:after="120"/>
      </w:pPr>
      <w:r>
        <w:rPr>
          <w:color w:val="55584E"/>
          <w:sz w:val="21"/>
        </w:rPr>
        <w:t>Companies beyond 250 in market cap ranking. High growth potential with higher volatility.</w:t>
      </w:r>
    </w:p>
    <w:p>
      <w:pPr>
        <w:spacing w:before="200" w:after="40"/>
      </w:pPr>
      <w:r>
        <w:rPr>
          <w:b/>
          <w:color w:val="202318"/>
          <w:sz w:val="24"/>
        </w:rPr>
        <w:t>Blue Chip</w:t>
      </w:r>
    </w:p>
    <w:p>
      <w:pPr>
        <w:spacing w:before="40" w:after="120"/>
      </w:pPr>
      <w:r>
        <w:rPr>
          <w:color w:val="55584E"/>
          <w:sz w:val="21"/>
        </w:rPr>
        <w:t>Established, financially sound companies with a history of reliable performance.</w:t>
      </w:r>
    </w:p>
    <w:p>
      <w:pPr>
        <w:spacing w:before="200" w:after="40"/>
      </w:pPr>
      <w:r>
        <w:rPr>
          <w:b/>
          <w:color w:val="202318"/>
          <w:sz w:val="24"/>
        </w:rPr>
        <w:t>Growth Stocks</w:t>
      </w:r>
    </w:p>
    <w:p>
      <w:pPr>
        <w:spacing w:before="40" w:after="120"/>
      </w:pPr>
      <w:r>
        <w:rPr>
          <w:color w:val="55584E"/>
          <w:sz w:val="21"/>
        </w:rPr>
        <w:t>Companies expected to grow faster than the market. Higher valuations, reinvest profits.</w:t>
      </w:r>
    </w:p>
    <w:p>
      <w:pPr>
        <w:spacing w:before="200" w:after="40"/>
      </w:pPr>
      <w:r>
        <w:rPr>
          <w:b/>
          <w:color w:val="202318"/>
          <w:sz w:val="24"/>
        </w:rPr>
        <w:t>Dividend Stocks</w:t>
      </w:r>
    </w:p>
    <w:p>
      <w:pPr>
        <w:spacing w:before="40" w:after="120"/>
      </w:pPr>
      <w:r>
        <w:rPr>
          <w:color w:val="55584E"/>
          <w:sz w:val="21"/>
        </w:rPr>
        <w:t>Companies that regularly distribute profits as dividends. Ideal for passive income.</w:t>
      </w:r>
    </w:p>
    <w:p>
      <w:pPr>
        <w:spacing w:before="200" w:after="40"/>
      </w:pPr>
      <w:r>
        <w:rPr>
          <w:b/>
          <w:color w:val="202318"/>
          <w:sz w:val="24"/>
        </w:rPr>
        <w:t>Value Stocks</w:t>
      </w:r>
    </w:p>
    <w:p>
      <w:pPr>
        <w:spacing w:before="40" w:after="120"/>
      </w:pPr>
      <w:r>
        <w:rPr>
          <w:color w:val="55584E"/>
          <w:sz w:val="21"/>
        </w:rPr>
        <w:t>Undervalued companies trading below intrinsic value. Suitable for patient investors.</w:t>
      </w:r>
    </w:p>
    <w:p>
      <w:pPr>
        <w:spacing w:before="200" w:after="40"/>
      </w:pPr>
      <w:r>
        <w:rPr>
          <w:b/>
          <w:color w:val="202318"/>
          <w:sz w:val="24"/>
        </w:rPr>
        <w:t>Penny Stocks</w:t>
      </w:r>
    </w:p>
    <w:p>
      <w:pPr>
        <w:spacing w:before="40" w:after="120"/>
      </w:pPr>
      <w:r>
        <w:rPr>
          <w:color w:val="55584E"/>
          <w:sz w:val="21"/>
        </w:rPr>
        <w:t>Low-priced, small company shares. High risk and high reward — for experienced traders only.</w:t>
      </w:r>
    </w:p>
    <w:p>
      <w:pPr>
        <w:spacing w:before="400" w:after="160"/>
        <w:shd w:val="clear" w:color="auto" w:fill="263114"/>
      </w:pPr>
      <w:r>
        <w:rPr>
          <w:b/>
          <w:color w:val="FFFFFF"/>
          <w:sz w:val="22"/>
        </w:rPr>
        <w:t xml:space="preserve">  SECTION 9 — HOW TO ANALYSE STOCKS (RESEARCH HUB)  </w:t>
      </w:r>
    </w:p>
    <w:p>
      <w:pPr>
        <w:spacing w:before="280" w:after="40"/>
      </w:pPr>
      <w:r>
        <w:rPr>
          <w:b/>
          <w:color w:val="F3B83F"/>
          <w:sz w:val="16"/>
        </w:rPr>
        <w:t>RESEARCH HUB</w:t>
      </w:r>
    </w:p>
    <w:p>
      <w:pPr>
        <w:spacing w:before="320" w:after="80"/>
      </w:pPr>
      <w:r>
        <w:rPr>
          <w:b/>
          <w:color w:val="263114"/>
          <w:sz w:val="32"/>
        </w:rPr>
        <w:t>How to Analyse Stocks</w:t>
      </w:r>
    </w:p>
    <w:p>
      <w:pPr>
        <w:spacing w:before="40" w:after="120"/>
      </w:pPr>
      <w:r>
        <w:rPr>
          <w:color w:val="55584E"/>
          <w:sz w:val="21"/>
        </w:rPr>
        <w:t>Expert analysis and actionable trading recommendations. Data-driven insights to power your trades — explore research-backed ideas and market opportunities in real time.</w:t>
      </w:r>
    </w:p>
    <w:p>
      <w:pPr>
        <w:spacing w:before="200" w:after="40"/>
      </w:pPr>
      <w:r>
        <w:rPr>
          <w:b/>
          <w:color w:val="202318"/>
          <w:sz w:val="24"/>
        </w:rPr>
        <w:t>Fundamental Research</w:t>
      </w:r>
    </w:p>
    <w:p>
      <w:pPr>
        <w:spacing w:before="40" w:after="120"/>
      </w:pPr>
      <w:r>
        <w:rPr>
          <w:color w:val="55584E"/>
          <w:sz w:val="21"/>
        </w:rPr>
        <w:t>In-depth company analysis, financial modelling, and valuation reports to help you pick stocks with strong long-term potential.</w:t>
      </w:r>
    </w:p>
    <w:p>
      <w:pPr>
        <w:spacing w:before="200" w:after="40"/>
      </w:pPr>
      <w:r>
        <w:rPr>
          <w:b/>
          <w:color w:val="202318"/>
          <w:sz w:val="24"/>
        </w:rPr>
        <w:t>Technical Research</w:t>
      </w:r>
    </w:p>
    <w:p>
      <w:pPr>
        <w:spacing w:before="40" w:after="120"/>
      </w:pPr>
      <w:r>
        <w:rPr>
          <w:color w:val="55584E"/>
          <w:sz w:val="21"/>
        </w:rPr>
        <w:t>Chart patterns, price action, and technical indicators to identify optimal entry and exit points for your trades.</w:t>
      </w:r>
    </w:p>
    <w:p>
      <w:pPr>
        <w:spacing w:before="400" w:after="160"/>
        <w:shd w:val="clear" w:color="auto" w:fill="263114"/>
      </w:pPr>
      <w:r>
        <w:rPr>
          <w:b/>
          <w:color w:val="FFFFFF"/>
          <w:sz w:val="22"/>
        </w:rPr>
        <w:t xml:space="preserve">  SECTION 10 — TOP TRADING STRATEGIES FOR INDIAN INVESTORS  </w:t>
      </w:r>
    </w:p>
    <w:p>
      <w:pPr>
        <w:spacing w:before="280" w:after="40"/>
      </w:pPr>
      <w:r>
        <w:rPr>
          <w:b/>
          <w:color w:val="F3B83F"/>
          <w:sz w:val="16"/>
        </w:rPr>
        <w:t>STRATEGY</w:t>
      </w:r>
    </w:p>
    <w:p>
      <w:pPr>
        <w:spacing w:before="320" w:after="80"/>
      </w:pPr>
      <w:r>
        <w:rPr>
          <w:b/>
          <w:color w:val="263114"/>
          <w:sz w:val="32"/>
        </w:rPr>
        <w:t>Top Trading Strategies for Indian Investors</w:t>
      </w:r>
    </w:p>
    <w:tbl>
      <w:tblPr>
        <w:tblStyle w:val="TableGrid"/>
        <w:tblW w:type="auto" w:w="0"/>
        <w:tblLook w:firstColumn="1" w:firstRow="1" w:lastColumn="0" w:lastRow="0" w:noHBand="0" w:noVBand="1" w:val="04A0"/>
      </w:tblPr>
      <w:tblGrid>
        <w:gridCol w:w="2351"/>
        <w:gridCol w:w="2351"/>
        <w:gridCol w:w="2351"/>
        <w:gridCol w:w="2351"/>
      </w:tblGrid>
      <w:tr>
        <w:tc>
          <w:tcPr>
            <w:tcW w:type="dxa" w:w="2304"/>
            <w:shd w:val="clear" w:color="auto" w:fill="263114"/>
          </w:tcPr>
          <w:p>
            <w:r/>
            <w:r>
              <w:rPr>
                <w:b/>
                <w:color w:val="F3B83F"/>
                <w:sz w:val="18"/>
              </w:rPr>
              <w:t>Parameter</w:t>
            </w:r>
          </w:p>
        </w:tc>
        <w:tc>
          <w:tcPr>
            <w:tcW w:type="dxa" w:w="2592"/>
            <w:shd w:val="clear" w:color="auto" w:fill="263114"/>
          </w:tcPr>
          <w:p>
            <w:r/>
            <w:r>
              <w:rPr>
                <w:b/>
                <w:color w:val="F3B83F"/>
                <w:sz w:val="18"/>
              </w:rPr>
              <w:t>Intraday Trading</w:t>
            </w:r>
          </w:p>
        </w:tc>
        <w:tc>
          <w:tcPr>
            <w:tcW w:type="dxa" w:w="2592"/>
            <w:shd w:val="clear" w:color="auto" w:fill="263114"/>
          </w:tcPr>
          <w:p>
            <w:r/>
            <w:r>
              <w:rPr>
                <w:b/>
                <w:color w:val="F3B83F"/>
                <w:sz w:val="18"/>
              </w:rPr>
              <w:t>Swing Trading</w:t>
            </w:r>
          </w:p>
        </w:tc>
        <w:tc>
          <w:tcPr>
            <w:tcW w:type="dxa" w:w="2592"/>
            <w:shd w:val="clear" w:color="auto" w:fill="263114"/>
          </w:tcPr>
          <w:p>
            <w:r/>
            <w:r>
              <w:rPr>
                <w:b/>
                <w:color w:val="F3B83F"/>
                <w:sz w:val="18"/>
              </w:rPr>
              <w:t>Long-Term Investing</w:t>
            </w:r>
          </w:p>
        </w:tc>
      </w:tr>
      <w:tr>
        <w:tc>
          <w:tcPr>
            <w:tcW w:type="dxa" w:w="2304"/>
            <w:shd w:val="clear" w:color="auto" w:fill="F8F6F1"/>
          </w:tcPr>
          <w:p>
            <w:r/>
            <w:r>
              <w:rPr>
                <w:b/>
                <w:color w:val="202318"/>
                <w:sz w:val="20"/>
              </w:rPr>
              <w:t>Tools Used</w:t>
            </w:r>
          </w:p>
        </w:tc>
        <w:tc>
          <w:tcPr>
            <w:tcW w:type="dxa" w:w="2592"/>
            <w:shd w:val="clear" w:color="auto" w:fill="F8F6F1"/>
          </w:tcPr>
          <w:p>
            <w:r/>
            <w:r>
              <w:rPr>
                <w:b w:val="0"/>
                <w:color w:val="55584E"/>
                <w:sz w:val="20"/>
              </w:rPr>
              <w:t>Charts, screeners, real-time data</w:t>
            </w:r>
          </w:p>
        </w:tc>
        <w:tc>
          <w:tcPr>
            <w:tcW w:type="dxa" w:w="2592"/>
            <w:shd w:val="clear" w:color="auto" w:fill="F8F6F1"/>
          </w:tcPr>
          <w:p>
            <w:r/>
            <w:r>
              <w:rPr>
                <w:b w:val="0"/>
                <w:color w:val="55584E"/>
                <w:sz w:val="20"/>
              </w:rPr>
              <w:t>Technical analysis, alerts</w:t>
            </w:r>
          </w:p>
        </w:tc>
        <w:tc>
          <w:tcPr>
            <w:tcW w:type="dxa" w:w="2592"/>
            <w:shd w:val="clear" w:color="auto" w:fill="F8F6F1"/>
          </w:tcPr>
          <w:p>
            <w:r/>
            <w:r>
              <w:rPr>
                <w:b w:val="0"/>
                <w:color w:val="55584E"/>
                <w:sz w:val="20"/>
              </w:rPr>
              <w:t>Fundamental research, SIP</w:t>
            </w:r>
          </w:p>
        </w:tc>
      </w:tr>
      <w:tr>
        <w:tc>
          <w:tcPr>
            <w:tcW w:type="dxa" w:w="2304"/>
            <w:shd w:val="clear" w:color="auto" w:fill="FFFFFF"/>
          </w:tcPr>
          <w:p>
            <w:r/>
            <w:r>
              <w:rPr>
                <w:b/>
                <w:color w:val="202318"/>
                <w:sz w:val="20"/>
              </w:rPr>
              <w:t>Profitability</w:t>
            </w:r>
          </w:p>
        </w:tc>
        <w:tc>
          <w:tcPr>
            <w:tcW w:type="dxa" w:w="2592"/>
            <w:shd w:val="clear" w:color="auto" w:fill="FFFFFF"/>
          </w:tcPr>
          <w:p>
            <w:r/>
            <w:r>
              <w:rPr>
                <w:b w:val="0"/>
                <w:color w:val="55584E"/>
                <w:sz w:val="20"/>
              </w:rPr>
              <w:t>High (with skill)</w:t>
            </w:r>
          </w:p>
        </w:tc>
        <w:tc>
          <w:tcPr>
            <w:tcW w:type="dxa" w:w="2592"/>
            <w:shd w:val="clear" w:color="auto" w:fill="FFFFFF"/>
          </w:tcPr>
          <w:p>
            <w:r/>
            <w:r>
              <w:rPr>
                <w:b w:val="0"/>
                <w:color w:val="55584E"/>
                <w:sz w:val="20"/>
              </w:rPr>
              <w:t>Medium–High</w:t>
            </w:r>
          </w:p>
        </w:tc>
        <w:tc>
          <w:tcPr>
            <w:tcW w:type="dxa" w:w="2592"/>
            <w:shd w:val="clear" w:color="auto" w:fill="FFFFFF"/>
          </w:tcPr>
          <w:p>
            <w:r/>
            <w:r>
              <w:rPr>
                <w:b w:val="0"/>
                <w:color w:val="55584E"/>
                <w:sz w:val="20"/>
              </w:rPr>
              <w:t>High (long horizon)</w:t>
            </w:r>
          </w:p>
        </w:tc>
      </w:tr>
      <w:tr>
        <w:tc>
          <w:tcPr>
            <w:tcW w:type="dxa" w:w="2304"/>
            <w:shd w:val="clear" w:color="auto" w:fill="F8F6F1"/>
          </w:tcPr>
          <w:p>
            <w:r/>
            <w:r>
              <w:rPr>
                <w:b/>
                <w:color w:val="202318"/>
                <w:sz w:val="20"/>
              </w:rPr>
              <w:t>Time Required</w:t>
            </w:r>
          </w:p>
        </w:tc>
        <w:tc>
          <w:tcPr>
            <w:tcW w:type="dxa" w:w="2592"/>
            <w:shd w:val="clear" w:color="auto" w:fill="F8F6F1"/>
          </w:tcPr>
          <w:p>
            <w:r/>
            <w:r>
              <w:rPr>
                <w:b w:val="0"/>
                <w:color w:val="55584E"/>
                <w:sz w:val="20"/>
              </w:rPr>
              <w:t>Full-time (market hours)</w:t>
            </w:r>
          </w:p>
        </w:tc>
        <w:tc>
          <w:tcPr>
            <w:tcW w:type="dxa" w:w="2592"/>
            <w:shd w:val="clear" w:color="auto" w:fill="F8F6F1"/>
          </w:tcPr>
          <w:p>
            <w:r/>
            <w:r>
              <w:rPr>
                <w:b w:val="0"/>
                <w:color w:val="55584E"/>
                <w:sz w:val="20"/>
              </w:rPr>
              <w:t>Part-time (daily review)</w:t>
            </w:r>
          </w:p>
        </w:tc>
        <w:tc>
          <w:tcPr>
            <w:tcW w:type="dxa" w:w="2592"/>
            <w:shd w:val="clear" w:color="auto" w:fill="F8F6F1"/>
          </w:tcPr>
          <w:p>
            <w:r/>
            <w:r>
              <w:rPr>
                <w:b w:val="0"/>
                <w:color w:val="55584E"/>
                <w:sz w:val="20"/>
              </w:rPr>
              <w:t>Minimal (periodic review)</w:t>
            </w:r>
          </w:p>
        </w:tc>
      </w:tr>
      <w:tr>
        <w:tc>
          <w:tcPr>
            <w:tcW w:type="dxa" w:w="2304"/>
            <w:shd w:val="clear" w:color="auto" w:fill="FFFFFF"/>
          </w:tcPr>
          <w:p>
            <w:r/>
            <w:r>
              <w:rPr>
                <w:b/>
                <w:color w:val="202318"/>
                <w:sz w:val="20"/>
              </w:rPr>
              <w:t>Skill Level</w:t>
            </w:r>
          </w:p>
        </w:tc>
        <w:tc>
          <w:tcPr>
            <w:tcW w:type="dxa" w:w="2592"/>
            <w:shd w:val="clear" w:color="auto" w:fill="FFFFFF"/>
          </w:tcPr>
          <w:p>
            <w:r/>
            <w:r>
              <w:rPr>
                <w:b w:val="0"/>
                <w:color w:val="55584E"/>
                <w:sz w:val="20"/>
              </w:rPr>
              <w:t>Advanced</w:t>
            </w:r>
          </w:p>
        </w:tc>
        <w:tc>
          <w:tcPr>
            <w:tcW w:type="dxa" w:w="2592"/>
            <w:shd w:val="clear" w:color="auto" w:fill="FFFFFF"/>
          </w:tcPr>
          <w:p>
            <w:r/>
            <w:r>
              <w:rPr>
                <w:b w:val="0"/>
                <w:color w:val="55584E"/>
                <w:sz w:val="20"/>
              </w:rPr>
              <w:t>Intermediate</w:t>
            </w:r>
          </w:p>
        </w:tc>
        <w:tc>
          <w:tcPr>
            <w:tcW w:type="dxa" w:w="2592"/>
            <w:shd w:val="clear" w:color="auto" w:fill="FFFFFF"/>
          </w:tcPr>
          <w:p>
            <w:r/>
            <w:r>
              <w:rPr>
                <w:b w:val="0"/>
                <w:color w:val="55584E"/>
                <w:sz w:val="20"/>
              </w:rPr>
              <w:t>Beginner–Intermediate</w:t>
            </w:r>
          </w:p>
        </w:tc>
      </w:tr>
      <w:tr>
        <w:tc>
          <w:tcPr>
            <w:tcW w:type="dxa" w:w="2304"/>
            <w:shd w:val="clear" w:color="auto" w:fill="F8F6F1"/>
          </w:tcPr>
          <w:p>
            <w:r/>
            <w:r>
              <w:rPr>
                <w:b/>
                <w:color w:val="202318"/>
                <w:sz w:val="20"/>
              </w:rPr>
              <w:t>Capital Required</w:t>
            </w:r>
          </w:p>
        </w:tc>
        <w:tc>
          <w:tcPr>
            <w:tcW w:type="dxa" w:w="2592"/>
            <w:shd w:val="clear" w:color="auto" w:fill="F8F6F1"/>
          </w:tcPr>
          <w:p>
            <w:r/>
            <w:r>
              <w:rPr>
                <w:b w:val="0"/>
                <w:color w:val="55584E"/>
                <w:sz w:val="20"/>
              </w:rPr>
              <w:t>Moderate</w:t>
            </w:r>
          </w:p>
        </w:tc>
        <w:tc>
          <w:tcPr>
            <w:tcW w:type="dxa" w:w="2592"/>
            <w:shd w:val="clear" w:color="auto" w:fill="F8F6F1"/>
          </w:tcPr>
          <w:p>
            <w:r/>
            <w:r>
              <w:rPr>
                <w:b w:val="0"/>
                <w:color w:val="55584E"/>
                <w:sz w:val="20"/>
              </w:rPr>
              <w:t>Moderate</w:t>
            </w:r>
          </w:p>
        </w:tc>
        <w:tc>
          <w:tcPr>
            <w:tcW w:type="dxa" w:w="2592"/>
            <w:shd w:val="clear" w:color="auto" w:fill="F8F6F1"/>
          </w:tcPr>
          <w:p>
            <w:r/>
            <w:r>
              <w:rPr>
                <w:b w:val="0"/>
                <w:color w:val="55584E"/>
                <w:sz w:val="20"/>
              </w:rPr>
              <w:t>Low to High</w:t>
            </w:r>
          </w:p>
        </w:tc>
      </w:tr>
      <w:tr>
        <w:tc>
          <w:tcPr>
            <w:tcW w:type="dxa" w:w="2304"/>
            <w:shd w:val="clear" w:color="auto" w:fill="FFFFFF"/>
          </w:tcPr>
          <w:p>
            <w:r/>
            <w:r>
              <w:rPr>
                <w:b/>
                <w:color w:val="202318"/>
                <w:sz w:val="20"/>
              </w:rPr>
              <w:t>Risk Level</w:t>
            </w:r>
          </w:p>
        </w:tc>
        <w:tc>
          <w:tcPr>
            <w:tcW w:type="dxa" w:w="2592"/>
            <w:shd w:val="clear" w:color="auto" w:fill="FFFFFF"/>
          </w:tcPr>
          <w:p>
            <w:r/>
            <w:r>
              <w:rPr>
                <w:b w:val="0"/>
                <w:color w:val="55584E"/>
                <w:sz w:val="20"/>
              </w:rPr>
              <w:t>Very High</w:t>
            </w:r>
          </w:p>
        </w:tc>
        <w:tc>
          <w:tcPr>
            <w:tcW w:type="dxa" w:w="2592"/>
            <w:shd w:val="clear" w:color="auto" w:fill="FFFFFF"/>
          </w:tcPr>
          <w:p>
            <w:r/>
            <w:r>
              <w:rPr>
                <w:b w:val="0"/>
                <w:color w:val="55584E"/>
                <w:sz w:val="20"/>
              </w:rPr>
              <w:t>Medium–High</w:t>
            </w:r>
          </w:p>
        </w:tc>
        <w:tc>
          <w:tcPr>
            <w:tcW w:type="dxa" w:w="2592"/>
            <w:shd w:val="clear" w:color="auto" w:fill="FFFFFF"/>
          </w:tcPr>
          <w:p>
            <w:r/>
            <w:r>
              <w:rPr>
                <w:b w:val="0"/>
                <w:color w:val="55584E"/>
                <w:sz w:val="20"/>
              </w:rPr>
              <w:t>Low–Medium</w:t>
            </w:r>
          </w:p>
        </w:tc>
      </w:tr>
    </w:tbl>
    <w:p/>
    <w:p>
      <w:pPr>
        <w:spacing w:before="400" w:after="160"/>
        <w:shd w:val="clear" w:color="auto" w:fill="263114"/>
      </w:pPr>
      <w:r>
        <w:rPr>
          <w:b/>
          <w:color w:val="FFFFFF"/>
          <w:sz w:val="22"/>
        </w:rPr>
        <w:t xml:space="preserve">  SECTION 11 — EQUITY STOCKS vs MUTUAL FUNDS  </w:t>
      </w:r>
    </w:p>
    <w:p>
      <w:pPr>
        <w:spacing w:before="280" w:after="40"/>
      </w:pPr>
      <w:r>
        <w:rPr>
          <w:b/>
          <w:color w:val="F3B83F"/>
          <w:sz w:val="16"/>
        </w:rPr>
        <w:t>COMPARISON</w:t>
      </w:r>
    </w:p>
    <w:p>
      <w:pPr>
        <w:spacing w:before="320" w:after="80"/>
      </w:pPr>
      <w:r>
        <w:rPr>
          <w:b/>
          <w:color w:val="263114"/>
          <w:sz w:val="32"/>
        </w:rPr>
        <w:t>Equity Stocks vs Mutual Funds</w:t>
      </w:r>
    </w:p>
    <w:p>
      <w:pPr>
        <w:spacing w:before="40" w:after="120"/>
      </w:pPr>
      <w:r>
        <w:rPr>
          <w:color w:val="55584E"/>
          <w:sz w:val="21"/>
        </w:rPr>
        <w:t>Both are great wealth-building tools — the right choice depends on your goals, expertise, and time horizon.</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263114"/>
          </w:tcPr>
          <w:p>
            <w:r/>
            <w:r>
              <w:rPr>
                <w:b/>
                <w:color w:val="F3B83F"/>
                <w:sz w:val="18"/>
              </w:rPr>
              <w:t>Feature</w:t>
            </w:r>
          </w:p>
        </w:tc>
        <w:tc>
          <w:tcPr>
            <w:tcW w:type="dxa" w:w="3600"/>
            <w:shd w:val="clear" w:color="auto" w:fill="263114"/>
          </w:tcPr>
          <w:p>
            <w:r/>
            <w:r>
              <w:rPr>
                <w:b/>
                <w:color w:val="F3B83F"/>
                <w:sz w:val="18"/>
              </w:rPr>
              <w:t>Equity Stocks</w:t>
            </w:r>
          </w:p>
        </w:tc>
        <w:tc>
          <w:tcPr>
            <w:tcW w:type="dxa" w:w="3600"/>
            <w:shd w:val="clear" w:color="auto" w:fill="263114"/>
          </w:tcPr>
          <w:p>
            <w:r/>
            <w:r>
              <w:rPr>
                <w:b/>
                <w:color w:val="F3B83F"/>
                <w:sz w:val="18"/>
              </w:rPr>
              <w:t>Mutual Funds</w:t>
            </w:r>
          </w:p>
        </w:tc>
      </w:tr>
      <w:tr>
        <w:tc>
          <w:tcPr>
            <w:tcW w:type="dxa" w:w="2592"/>
            <w:shd w:val="clear" w:color="auto" w:fill="F8F6F1"/>
          </w:tcPr>
          <w:p>
            <w:r/>
            <w:r>
              <w:rPr>
                <w:b/>
                <w:color w:val="202318"/>
                <w:sz w:val="20"/>
              </w:rPr>
              <w:t>Control</w:t>
            </w:r>
          </w:p>
        </w:tc>
        <w:tc>
          <w:tcPr>
            <w:tcW w:type="dxa" w:w="3600"/>
            <w:shd w:val="clear" w:color="auto" w:fill="F8F6F1"/>
          </w:tcPr>
          <w:p>
            <w:r/>
            <w:r>
              <w:rPr>
                <w:b w:val="0"/>
                <w:color w:val="55584E"/>
                <w:sz w:val="20"/>
              </w:rPr>
              <w:t>Full control over stock selection</w:t>
            </w:r>
          </w:p>
        </w:tc>
        <w:tc>
          <w:tcPr>
            <w:tcW w:type="dxa" w:w="3600"/>
            <w:shd w:val="clear" w:color="auto" w:fill="F8F6F1"/>
          </w:tcPr>
          <w:p>
            <w:r/>
            <w:r>
              <w:rPr>
                <w:b w:val="0"/>
                <w:color w:val="55584E"/>
                <w:sz w:val="20"/>
              </w:rPr>
              <w:t>Fund manager decides</w:t>
            </w:r>
          </w:p>
        </w:tc>
      </w:tr>
      <w:tr>
        <w:tc>
          <w:tcPr>
            <w:tcW w:type="dxa" w:w="2592"/>
            <w:shd w:val="clear" w:color="auto" w:fill="FFFFFF"/>
          </w:tcPr>
          <w:p>
            <w:r/>
            <w:r>
              <w:rPr>
                <w:b/>
                <w:color w:val="202318"/>
                <w:sz w:val="20"/>
              </w:rPr>
              <w:t>Returns</w:t>
            </w:r>
          </w:p>
        </w:tc>
        <w:tc>
          <w:tcPr>
            <w:tcW w:type="dxa" w:w="3600"/>
            <w:shd w:val="clear" w:color="auto" w:fill="FFFFFF"/>
          </w:tcPr>
          <w:p>
            <w:r/>
            <w:r>
              <w:rPr>
                <w:b w:val="0"/>
                <w:color w:val="55584E"/>
                <w:sz w:val="20"/>
              </w:rPr>
              <w:t>Potentially higher (and lower)</w:t>
            </w:r>
          </w:p>
        </w:tc>
        <w:tc>
          <w:tcPr>
            <w:tcW w:type="dxa" w:w="3600"/>
            <w:shd w:val="clear" w:color="auto" w:fill="FFFFFF"/>
          </w:tcPr>
          <w:p>
            <w:r/>
            <w:r>
              <w:rPr>
                <w:b w:val="0"/>
                <w:color w:val="55584E"/>
                <w:sz w:val="20"/>
              </w:rPr>
              <w:t>Moderate, diversified</w:t>
            </w:r>
          </w:p>
        </w:tc>
      </w:tr>
      <w:tr>
        <w:tc>
          <w:tcPr>
            <w:tcW w:type="dxa" w:w="2592"/>
            <w:shd w:val="clear" w:color="auto" w:fill="F8F6F1"/>
          </w:tcPr>
          <w:p>
            <w:r/>
            <w:r>
              <w:rPr>
                <w:b/>
                <w:color w:val="202318"/>
                <w:sz w:val="20"/>
              </w:rPr>
              <w:t>Risk</w:t>
            </w:r>
          </w:p>
        </w:tc>
        <w:tc>
          <w:tcPr>
            <w:tcW w:type="dxa" w:w="3600"/>
            <w:shd w:val="clear" w:color="auto" w:fill="F8F6F1"/>
          </w:tcPr>
          <w:p>
            <w:r/>
            <w:r>
              <w:rPr>
                <w:b w:val="0"/>
                <w:color w:val="55584E"/>
                <w:sz w:val="20"/>
              </w:rPr>
              <w:t>Higher (concentrated positions)</w:t>
            </w:r>
          </w:p>
        </w:tc>
        <w:tc>
          <w:tcPr>
            <w:tcW w:type="dxa" w:w="3600"/>
            <w:shd w:val="clear" w:color="auto" w:fill="F8F6F1"/>
          </w:tcPr>
          <w:p>
            <w:r/>
            <w:r>
              <w:rPr>
                <w:b w:val="0"/>
                <w:color w:val="55584E"/>
                <w:sz w:val="20"/>
              </w:rPr>
              <w:t>Lower (diversified)</w:t>
            </w:r>
          </w:p>
        </w:tc>
      </w:tr>
      <w:tr>
        <w:tc>
          <w:tcPr>
            <w:tcW w:type="dxa" w:w="2592"/>
            <w:shd w:val="clear" w:color="auto" w:fill="FFFFFF"/>
          </w:tcPr>
          <w:p>
            <w:r/>
            <w:r>
              <w:rPr>
                <w:b/>
                <w:color w:val="202318"/>
                <w:sz w:val="20"/>
              </w:rPr>
              <w:t>Minimum Investment</w:t>
            </w:r>
          </w:p>
        </w:tc>
        <w:tc>
          <w:tcPr>
            <w:tcW w:type="dxa" w:w="3600"/>
            <w:shd w:val="clear" w:color="auto" w:fill="FFFFFF"/>
          </w:tcPr>
          <w:p>
            <w:r/>
            <w:r>
              <w:rPr>
                <w:b w:val="0"/>
                <w:color w:val="55584E"/>
                <w:sz w:val="20"/>
              </w:rPr>
              <w:t>1 share (can be &lt; ₹10)</w:t>
            </w:r>
          </w:p>
        </w:tc>
        <w:tc>
          <w:tcPr>
            <w:tcW w:type="dxa" w:w="3600"/>
            <w:shd w:val="clear" w:color="auto" w:fill="FFFFFF"/>
          </w:tcPr>
          <w:p>
            <w:r/>
            <w:r>
              <w:rPr>
                <w:b w:val="0"/>
                <w:color w:val="55584E"/>
                <w:sz w:val="20"/>
              </w:rPr>
              <w:t>₹500 (SIP)</w:t>
            </w:r>
          </w:p>
        </w:tc>
      </w:tr>
      <w:tr>
        <w:tc>
          <w:tcPr>
            <w:tcW w:type="dxa" w:w="2592"/>
            <w:shd w:val="clear" w:color="auto" w:fill="F8F6F1"/>
          </w:tcPr>
          <w:p>
            <w:r/>
            <w:r>
              <w:rPr>
                <w:b/>
                <w:color w:val="202318"/>
                <w:sz w:val="20"/>
              </w:rPr>
              <w:t>Taxation</w:t>
            </w:r>
          </w:p>
        </w:tc>
        <w:tc>
          <w:tcPr>
            <w:tcW w:type="dxa" w:w="3600"/>
            <w:shd w:val="clear" w:color="auto" w:fill="F8F6F1"/>
          </w:tcPr>
          <w:p>
            <w:r/>
            <w:r>
              <w:rPr>
                <w:b w:val="0"/>
                <w:color w:val="55584E"/>
                <w:sz w:val="20"/>
              </w:rPr>
              <w:t>STCG 20% / LTCG 12.5%</w:t>
            </w:r>
          </w:p>
        </w:tc>
        <w:tc>
          <w:tcPr>
            <w:tcW w:type="dxa" w:w="3600"/>
            <w:shd w:val="clear" w:color="auto" w:fill="F8F6F1"/>
          </w:tcPr>
          <w:p>
            <w:r/>
            <w:r>
              <w:rPr>
                <w:b w:val="0"/>
                <w:color w:val="55584E"/>
                <w:sz w:val="20"/>
              </w:rPr>
              <w:t>Equity MF: same as equity</w:t>
            </w:r>
          </w:p>
        </w:tc>
      </w:tr>
      <w:tr>
        <w:tc>
          <w:tcPr>
            <w:tcW w:type="dxa" w:w="2592"/>
            <w:shd w:val="clear" w:color="auto" w:fill="FFFFFF"/>
          </w:tcPr>
          <w:p>
            <w:r/>
            <w:r>
              <w:rPr>
                <w:b/>
                <w:color w:val="202318"/>
                <w:sz w:val="20"/>
              </w:rPr>
              <w:t>Liquidity</w:t>
            </w:r>
          </w:p>
        </w:tc>
        <w:tc>
          <w:tcPr>
            <w:tcW w:type="dxa" w:w="3600"/>
            <w:shd w:val="clear" w:color="auto" w:fill="FFFFFF"/>
          </w:tcPr>
          <w:p>
            <w:r/>
            <w:r>
              <w:rPr>
                <w:b w:val="0"/>
                <w:color w:val="55584E"/>
                <w:sz w:val="20"/>
              </w:rPr>
              <w:t>Instant (exchange hours)</w:t>
            </w:r>
          </w:p>
        </w:tc>
        <w:tc>
          <w:tcPr>
            <w:tcW w:type="dxa" w:w="3600"/>
            <w:shd w:val="clear" w:color="auto" w:fill="FFFFFF"/>
          </w:tcPr>
          <w:p>
            <w:r/>
            <w:r>
              <w:rPr>
                <w:b w:val="0"/>
                <w:color w:val="55584E"/>
                <w:sz w:val="20"/>
              </w:rPr>
              <w:t>T+1 to T+3 redemption</w:t>
            </w:r>
          </w:p>
        </w:tc>
      </w:tr>
      <w:tr>
        <w:tc>
          <w:tcPr>
            <w:tcW w:type="dxa" w:w="2592"/>
            <w:shd w:val="clear" w:color="auto" w:fill="F8F6F1"/>
          </w:tcPr>
          <w:p>
            <w:r/>
            <w:r>
              <w:rPr>
                <w:b/>
                <w:color w:val="202318"/>
                <w:sz w:val="20"/>
              </w:rPr>
              <w:t>Transparency</w:t>
            </w:r>
          </w:p>
        </w:tc>
        <w:tc>
          <w:tcPr>
            <w:tcW w:type="dxa" w:w="3600"/>
            <w:shd w:val="clear" w:color="auto" w:fill="F8F6F1"/>
          </w:tcPr>
          <w:p>
            <w:r/>
            <w:r>
              <w:rPr>
                <w:b w:val="0"/>
                <w:color w:val="55584E"/>
                <w:sz w:val="20"/>
              </w:rPr>
              <w:t>Real-time price discovery</w:t>
            </w:r>
          </w:p>
        </w:tc>
        <w:tc>
          <w:tcPr>
            <w:tcW w:type="dxa" w:w="3600"/>
            <w:shd w:val="clear" w:color="auto" w:fill="F8F6F1"/>
          </w:tcPr>
          <w:p>
            <w:r/>
            <w:r>
              <w:rPr>
                <w:b w:val="0"/>
                <w:color w:val="55584E"/>
                <w:sz w:val="20"/>
              </w:rPr>
              <w:t>NAV declared daily</w:t>
            </w:r>
          </w:p>
        </w:tc>
      </w:tr>
      <w:tr>
        <w:tc>
          <w:tcPr>
            <w:tcW w:type="dxa" w:w="2592"/>
            <w:shd w:val="clear" w:color="auto" w:fill="FFFFFF"/>
          </w:tcPr>
          <w:p>
            <w:r/>
            <w:r>
              <w:rPr>
                <w:b/>
                <w:color w:val="202318"/>
                <w:sz w:val="20"/>
              </w:rPr>
              <w:t>Expertise Required</w:t>
            </w:r>
          </w:p>
        </w:tc>
        <w:tc>
          <w:tcPr>
            <w:tcW w:type="dxa" w:w="3600"/>
            <w:shd w:val="clear" w:color="auto" w:fill="FFFFFF"/>
          </w:tcPr>
          <w:p>
            <w:r/>
            <w:r>
              <w:rPr>
                <w:b w:val="0"/>
                <w:color w:val="55584E"/>
                <w:sz w:val="20"/>
              </w:rPr>
              <w:t>Medium to High</w:t>
            </w:r>
          </w:p>
        </w:tc>
        <w:tc>
          <w:tcPr>
            <w:tcW w:type="dxa" w:w="3600"/>
            <w:shd w:val="clear" w:color="auto" w:fill="FFFFFF"/>
          </w:tcPr>
          <w:p>
            <w:r/>
            <w:r>
              <w:rPr>
                <w:b w:val="0"/>
                <w:color w:val="55584E"/>
                <w:sz w:val="20"/>
              </w:rPr>
              <w:t>Low (passive investing)</w:t>
            </w:r>
          </w:p>
        </w:tc>
      </w:tr>
    </w:tbl>
    <w:p/>
    <w:p>
      <w:pPr>
        <w:spacing w:before="400" w:after="160"/>
        <w:shd w:val="clear" w:color="auto" w:fill="263114"/>
      </w:pPr>
      <w:r>
        <w:rPr>
          <w:b/>
          <w:color w:val="FFFFFF"/>
          <w:sz w:val="22"/>
        </w:rPr>
        <w:t xml:space="preserve">  SECTION 12 — RISKS OF INVESTING IN EQUITY STOCKS  </w:t>
      </w:r>
    </w:p>
    <w:p>
      <w:pPr>
        <w:spacing w:before="280" w:after="40"/>
      </w:pPr>
      <w:r>
        <w:rPr>
          <w:b/>
          <w:color w:val="F3B83F"/>
          <w:sz w:val="16"/>
        </w:rPr>
        <w:t>KNOW BEFORE YOU INVEST</w:t>
      </w:r>
    </w:p>
    <w:p>
      <w:pPr>
        <w:spacing w:before="320" w:after="80"/>
      </w:pPr>
      <w:r>
        <w:rPr>
          <w:b/>
          <w:color w:val="263114"/>
          <w:sz w:val="32"/>
        </w:rPr>
        <w:t>Risks of Investing in Equity Stocks</w:t>
      </w:r>
    </w:p>
    <w:p>
      <w:pPr>
        <w:spacing w:before="40" w:after="120"/>
      </w:pPr>
      <w:r>
        <w:rPr>
          <w:color w:val="55584E"/>
          <w:sz w:val="21"/>
        </w:rPr>
        <w:t>Every investment carries risk. Understanding these risks helps you invest with clarity and avoid common mistakes.</w:t>
      </w:r>
    </w:p>
    <w:p>
      <w:pPr>
        <w:spacing w:before="200" w:after="40"/>
      </w:pPr>
      <w:r>
        <w:rPr>
          <w:b/>
          <w:color w:val="202318"/>
          <w:sz w:val="24"/>
        </w:rPr>
        <w:t>Market Risk</w:t>
      </w:r>
    </w:p>
    <w:p>
      <w:pPr>
        <w:spacing w:before="40" w:after="120"/>
      </w:pPr>
      <w:r>
        <w:rPr>
          <w:color w:val="55584E"/>
          <w:sz w:val="21"/>
        </w:rPr>
        <w:t>Broad market downturns due to economic events, interest rate changes, or geopolitical developments can affect all stocks regardless of company performance.</w:t>
      </w:r>
    </w:p>
    <w:p>
      <w:pPr>
        <w:spacing w:before="200" w:after="40"/>
      </w:pPr>
      <w:r>
        <w:rPr>
          <w:b/>
          <w:color w:val="202318"/>
          <w:sz w:val="24"/>
        </w:rPr>
        <w:t>Volatility</w:t>
      </w:r>
    </w:p>
    <w:p>
      <w:pPr>
        <w:spacing w:before="40" w:after="120"/>
      </w:pPr>
      <w:r>
        <w:rPr>
          <w:color w:val="55584E"/>
          <w:sz w:val="21"/>
        </w:rPr>
        <w:t>Stock prices can swing sharply in the short term, creating paper losses even for sound investments. Emotional decision-making during dips can crystallise losses.</w:t>
      </w:r>
    </w:p>
    <w:p>
      <w:pPr>
        <w:spacing w:before="200" w:after="40"/>
      </w:pPr>
      <w:r>
        <w:rPr>
          <w:b/>
          <w:color w:val="202318"/>
          <w:sz w:val="24"/>
        </w:rPr>
        <w:t>Stock-Specific Risk</w:t>
      </w:r>
    </w:p>
    <w:p>
      <w:pPr>
        <w:spacing w:before="40" w:after="120"/>
      </w:pPr>
      <w:r>
        <w:rPr>
          <w:color w:val="55584E"/>
          <w:sz w:val="21"/>
        </w:rPr>
        <w:t>Individual companies can face fraud, management issues, regulatory action, or business model failure. Concentration in a single stock amplifies this risk significantly.</w:t>
      </w:r>
    </w:p>
    <w:p>
      <w:pPr>
        <w:spacing w:before="200" w:after="40"/>
      </w:pPr>
      <w:r>
        <w:rPr>
          <w:b/>
          <w:color w:val="202318"/>
          <w:sz w:val="24"/>
        </w:rPr>
        <w:t>Behavioural Risk</w:t>
      </w:r>
    </w:p>
    <w:p>
      <w:pPr>
        <w:spacing w:before="40" w:after="120"/>
      </w:pPr>
      <w:r>
        <w:rPr>
          <w:color w:val="55584E"/>
          <w:sz w:val="21"/>
        </w:rPr>
        <w:t>FOMO buying at peaks, panic selling at lows, and overtrading due to news noise are among the most common causes of poor equity returns for retail investors.</w:t>
      </w:r>
    </w:p>
    <w:p>
      <w:pPr>
        <w:spacing w:before="400" w:after="160"/>
        <w:shd w:val="clear" w:color="auto" w:fill="263114"/>
      </w:pPr>
      <w:r>
        <w:rPr>
          <w:b/>
          <w:color w:val="FFFFFF"/>
          <w:sz w:val="22"/>
        </w:rPr>
        <w:t xml:space="preserve">  SECTION 13 — FAQs — EQUITY STOCKS &amp; STOCK MARKET INDIA  </w:t>
      </w:r>
    </w:p>
    <w:p>
      <w:pPr>
        <w:spacing w:before="280" w:after="40"/>
      </w:pPr>
      <w:r>
        <w:rPr>
          <w:b/>
          <w:color w:val="F3B83F"/>
          <w:sz w:val="16"/>
        </w:rPr>
        <w:t>FAQ</w:t>
      </w:r>
    </w:p>
    <w:p>
      <w:pPr>
        <w:spacing w:before="320" w:after="80"/>
      </w:pPr>
      <w:r>
        <w:rPr>
          <w:b/>
          <w:color w:val="263114"/>
          <w:sz w:val="32"/>
        </w:rPr>
        <w:t>FAQs — Equity Stocks &amp; Stock Market India</w:t>
      </w:r>
    </w:p>
    <w:p>
      <w:pPr>
        <w:spacing w:before="160"/>
      </w:pPr>
      <w:r>
        <w:rPr>
          <w:b/>
          <w:color w:val="202318"/>
          <w:sz w:val="21"/>
        </w:rPr>
        <w:t>Q: What is the difference between large cap, mid cap, and small cap stocks?</w:t>
      </w:r>
    </w:p>
    <w:p>
      <w:pPr>
        <w:spacing w:before="40" w:after="120"/>
      </w:pPr>
      <w:r>
        <w:rPr>
          <w:color w:val="55584E"/>
          <w:sz w:val="21"/>
        </w:rPr>
        <w:t>A: Large cap stocks are the top 100 companies by market capitalisation — stable and lower risk. Mid cap stocks (rank 101–250) offer a balance of growth and stability. Small cap stocks (rank 251+) are smaller companies with higher growth potential but also higher volatility and risk.</w:t>
      </w:r>
    </w:p>
    <w:p>
      <w:pPr>
        <w:spacing w:before="160"/>
      </w:pPr>
      <w:r>
        <w:rPr>
          <w:b/>
          <w:color w:val="202318"/>
          <w:sz w:val="21"/>
        </w:rPr>
        <w:t>Q: What is the safest platform to invest in equity?</w:t>
      </w:r>
    </w:p>
    <w:p>
      <w:pPr>
        <w:spacing w:before="40" w:after="120"/>
      </w:pPr>
      <w:r>
        <w:rPr>
          <w:color w:val="55584E"/>
          <w:sz w:val="21"/>
        </w:rPr>
        <w:t>A: SEBI-registered brokers are the safest option. Shriram Financial Services is a SEBI-registered stockbroker (member of NSE &amp; BSE). Your shares are held in your Demat account with CDSL — a government-regulated depository — and your funds are kept in a segregated client account, never commingled with company funds.</w:t>
      </w:r>
    </w:p>
    <w:p>
      <w:pPr>
        <w:spacing w:before="160"/>
      </w:pPr>
      <w:r>
        <w:rPr>
          <w:b/>
          <w:color w:val="202318"/>
          <w:sz w:val="21"/>
        </w:rPr>
        <w:t>Q: Should I invest in equity or mutual funds?</w:t>
      </w:r>
    </w:p>
    <w:p>
      <w:pPr>
        <w:spacing w:before="40" w:after="120"/>
      </w:pPr>
      <w:r>
        <w:rPr>
          <w:color w:val="55584E"/>
          <w:sz w:val="21"/>
        </w:rPr>
        <w:t>A: It depends on your expertise, time availability, and risk appetite. If you want control and can research stocks yourself (or have access to expert advisory like Shriram's SEBI-registered research desk), direct equity can deliver higher returns. Mutual funds are better for passive investors who prefer professional fund management with diversification built in.</w:t>
      </w:r>
    </w:p>
    <w:p>
      <w:pPr>
        <w:spacing w:before="160"/>
      </w:pPr>
      <w:r>
        <w:rPr>
          <w:b/>
          <w:color w:val="202318"/>
          <w:sz w:val="21"/>
        </w:rPr>
        <w:t>Q: How do I calculate a full breakdown of equity investment returns?</w:t>
      </w:r>
    </w:p>
    <w:p>
      <w:pPr>
        <w:spacing w:before="40" w:after="120"/>
      </w:pPr>
      <w:r>
        <w:rPr>
          <w:color w:val="55584E"/>
          <w:sz w:val="21"/>
        </w:rPr>
        <w:t>A: Your net return = (Sell Value − Buy Value) − (Brokerage + STT + GST + DP Charges + Exchange Charges) − Tax (STCG at 20% or LTCG at 12.5% depending on holding period). Use our Brokerage Calculator on this page for an instant estimate before placing any order.</w:t>
      </w:r>
    </w:p>
    <w:p>
      <w:pPr>
        <w:spacing w:before="160"/>
      </w:pPr>
      <w:r>
        <w:rPr>
          <w:b/>
          <w:color w:val="202318"/>
          <w:sz w:val="21"/>
        </w:rPr>
        <w:t>Q: What is a Demat account and do I need one for equity investing?</w:t>
      </w:r>
    </w:p>
    <w:p>
      <w:pPr>
        <w:spacing w:before="40" w:after="120"/>
      </w:pPr>
      <w:r>
        <w:rPr>
          <w:color w:val="55584E"/>
          <w:sz w:val="21"/>
        </w:rPr>
        <w:t>A: A Demat (Dematerialised) account is a digital account that holds your shares in electronic form, replacing physical share certificates. Yes, a Demat account linked with a trading account is mandatory for buying and selling shares on Indian stock exchanges. Shriram Financial Services helps you open both in under 10 minutes, completely paperless.</w:t>
      </w:r>
    </w:p>
    <w:p>
      <w:pPr>
        <w:spacing w:before="160"/>
      </w:pPr>
      <w:r>
        <w:rPr>
          <w:b/>
          <w:color w:val="202318"/>
          <w:sz w:val="21"/>
        </w:rPr>
        <w:t>Q: What is the minimum amount needed to start equity investing?</w:t>
      </w:r>
    </w:p>
    <w:p>
      <w:pPr>
        <w:spacing w:before="40" w:after="120"/>
      </w:pPr>
      <w:r>
        <w:rPr>
          <w:color w:val="55584E"/>
          <w:sz w:val="21"/>
        </w:rPr>
        <w:t>A: There is no regulatory minimum. You can start with as little as the price of a single share — many quality blue-chip stocks are available for under ₹500. Shriram Financial Services offers zero delivery brokerage, so there are no additional costs for buy-and-hold investing.</w:t>
      </w:r>
    </w:p>
    <w:p>
      <w:pPr>
        <w:spacing w:before="400" w:after="160"/>
        <w:shd w:val="clear" w:color="auto" w:fill="263114"/>
      </w:pPr>
      <w:r>
        <w:rPr>
          <w:b/>
          <w:color w:val="FFFFFF"/>
          <w:sz w:val="22"/>
        </w:rPr>
        <w:t xml:space="preserve">  SECTION 14 — BOTTOM CTA BANNER  </w:t>
      </w:r>
    </w:p>
    <w:p>
      <w:pPr>
        <w:spacing w:before="320" w:after="80"/>
      </w:pPr>
      <w:r>
        <w:rPr>
          <w:b/>
          <w:color w:val="263114"/>
          <w:sz w:val="32"/>
        </w:rPr>
        <w:t>Open Your Demat Account in Minutes</w:t>
      </w:r>
    </w:p>
    <w:p>
      <w:pPr>
        <w:spacing w:before="40" w:after="120"/>
      </w:pPr>
      <w:r>
        <w:rPr>
          <w:color w:val="55584E"/>
          <w:sz w:val="21"/>
        </w:rPr>
        <w:t>100% digital, paperless, and SEBI-compliant. Start investing in equities with ₹0 delivery brokerage and expert advisory from day one.</w:t>
      </w:r>
    </w:p>
    <w:p>
      <w:pPr>
        <w:spacing w:before="200" w:after="40"/>
      </w:pPr>
      <w:r>
        <w:rPr>
          <w:b/>
          <w:color w:val="202318"/>
          <w:sz w:val="24"/>
        </w:rPr>
        <w:t>CTA Buttons</w:t>
      </w:r>
    </w:p>
    <w:p>
      <w:pPr>
        <w:pStyle w:val="ListBullet"/>
        <w:spacing w:before="20" w:after="20"/>
      </w:pPr>
      <w:r>
        <w:rPr>
          <w:color w:val="55584E"/>
          <w:sz w:val="20"/>
        </w:rPr>
        <w:t>Get Started →  /about/open-demat-account/</w:t>
      </w:r>
    </w:p>
    <w:p>
      <w:pPr>
        <w:pStyle w:val="ListBullet"/>
        <w:spacing w:before="20" w:after="20"/>
      </w:pPr>
      <w:r>
        <w:rPr>
          <w:color w:val="55584E"/>
          <w:sz w:val="20"/>
        </w:rPr>
        <w:t>Talk to an RM  →  /about/support/</w:t>
      </w:r>
    </w:p>
    <w:p>
      <w:r>
        <w:br w:type="page"/>
      </w:r>
    </w:p>
    <w:p>
      <w:pPr>
        <w:spacing w:before="0" w:after="120"/>
      </w:pPr>
      <w:r>
        <w:rPr>
          <w:b/>
          <w:color w:val="263114"/>
          <w:sz w:val="56"/>
        </w:rPr>
        <w:t>PART 2 — MUTUAL FUNDS PAGE</w:t>
      </w:r>
    </w:p>
    <w:p>
      <w:pPr>
        <w:spacing w:before="40" w:after="120"/>
      </w:pPr>
      <w:r>
        <w:rPr>
          <w:color w:val="888888"/>
          <w:sz w:val="21"/>
        </w:rPr>
        <w:t>URL: /products/mutual-funds/</w:t>
      </w:r>
    </w:p>
    <w:p>
      <w:pPr>
        <w:spacing w:before="120" w:after="120"/>
      </w:pPr>
      <w:r>
        <w:rPr>
          <w:color w:val="CCCCCC"/>
          <w:sz w:val="16"/>
        </w:rPr>
        <w:t>────────────────────────────────────────────────────────────────────────────────</w:t>
      </w:r>
    </w:p>
    <w:p>
      <w:pPr>
        <w:spacing w:before="400" w:after="160"/>
        <w:shd w:val="clear" w:color="auto" w:fill="263114"/>
      </w:pPr>
      <w:r>
        <w:rPr>
          <w:b/>
          <w:color w:val="FFFFFF"/>
          <w:sz w:val="22"/>
        </w:rPr>
        <w:t xml:space="preserve">  SECTION 1 — HERO  </w:t>
      </w:r>
    </w:p>
    <w:p>
      <w:pPr>
        <w:spacing w:before="280" w:after="40"/>
      </w:pPr>
      <w:r>
        <w:rPr>
          <w:b/>
          <w:color w:val="F3B83F"/>
          <w:sz w:val="16"/>
        </w:rPr>
        <w:t>MUTUAL FUNDS</w:t>
      </w:r>
    </w:p>
    <w:p>
      <w:pPr>
        <w:spacing w:before="320" w:after="80"/>
      </w:pPr>
      <w:r>
        <w:rPr>
          <w:b/>
          <w:color w:val="263114"/>
          <w:sz w:val="32"/>
        </w:rPr>
        <w:t>Invest in Mutual Funds with Zero Commission</w:t>
      </w:r>
    </w:p>
    <w:p>
      <w:pPr>
        <w:spacing w:before="40" w:after="120"/>
      </w:pPr>
      <w:r>
        <w:rPr>
          <w:color w:val="55584E"/>
          <w:sz w:val="21"/>
        </w:rPr>
        <w:t>Browse 3,000+ direct mutual fund schemes across all categories. Start a SIP from ₹500, track NAV daily, and let expert-curated research guide your selections.</w:t>
      </w:r>
    </w:p>
    <w:p>
      <w:pPr>
        <w:spacing w:before="200" w:after="40"/>
      </w:pPr>
      <w:r>
        <w:rPr>
          <w:b/>
          <w:color w:val="202318"/>
          <w:sz w:val="24"/>
        </w:rPr>
        <w:t>Trust Badges</w:t>
      </w:r>
    </w:p>
    <w:p>
      <w:pPr>
        <w:pStyle w:val="ListBullet"/>
        <w:spacing w:before="20" w:after="20"/>
      </w:pPr>
      <w:r>
        <w:rPr>
          <w:color w:val="55584E"/>
          <w:sz w:val="20"/>
        </w:rPr>
        <w:t>0% commission (Direct Plans)</w:t>
      </w:r>
    </w:p>
    <w:p>
      <w:pPr>
        <w:pStyle w:val="ListBullet"/>
        <w:spacing w:before="20" w:after="20"/>
      </w:pPr>
      <w:r>
        <w:rPr>
          <w:color w:val="55584E"/>
          <w:sz w:val="20"/>
        </w:rPr>
        <w:t>SIP from ₹500/month</w:t>
      </w:r>
    </w:p>
    <w:p>
      <w:pPr>
        <w:pStyle w:val="ListBullet"/>
        <w:spacing w:before="20" w:after="20"/>
      </w:pPr>
      <w:r>
        <w:rPr>
          <w:color w:val="55584E"/>
          <w:sz w:val="20"/>
        </w:rPr>
        <w:t>3,000+ fund schemes</w:t>
      </w:r>
    </w:p>
    <w:p>
      <w:pPr>
        <w:pStyle w:val="ListBullet"/>
        <w:spacing w:before="20" w:after="20"/>
      </w:pPr>
      <w:r>
        <w:rPr>
          <w:color w:val="55584E"/>
          <w:sz w:val="20"/>
        </w:rPr>
        <w:t>SEBI-registered platform</w:t>
      </w:r>
    </w:p>
    <w:p>
      <w:pPr>
        <w:spacing w:before="200" w:after="40"/>
      </w:pPr>
      <w:r>
        <w:rPr>
          <w:b/>
          <w:color w:val="202318"/>
          <w:sz w:val="24"/>
        </w:rPr>
        <w:t>CTA Buttons</w:t>
      </w:r>
    </w:p>
    <w:p>
      <w:pPr>
        <w:pStyle w:val="ListBullet"/>
        <w:spacing w:before="20" w:after="20"/>
      </w:pPr>
      <w:r>
        <w:rPr>
          <w:color w:val="55584E"/>
          <w:sz w:val="20"/>
        </w:rPr>
        <w:t>Start Investing in MF  →  /about/open-demat-account/</w:t>
      </w:r>
    </w:p>
    <w:p>
      <w:pPr>
        <w:pStyle w:val="ListBullet"/>
        <w:spacing w:before="20" w:after="20"/>
      </w:pPr>
      <w:r>
        <w:rPr>
          <w:color w:val="55584E"/>
          <w:sz w:val="20"/>
        </w:rPr>
        <w:t>Talk to RM  →  /about/support/</w:t>
      </w:r>
    </w:p>
    <w:p>
      <w:pPr>
        <w:spacing w:before="400" w:after="160"/>
        <w:shd w:val="clear" w:color="auto" w:fill="263114"/>
      </w:pPr>
      <w:r>
        <w:rPr>
          <w:b/>
          <w:color w:val="FFFFFF"/>
          <w:sz w:val="22"/>
        </w:rPr>
        <w:t xml:space="preserve">  SECTION 2 — TYPES OF MUTUAL FUNDS  </w:t>
      </w:r>
    </w:p>
    <w:p>
      <w:pPr>
        <w:spacing w:before="280" w:after="40"/>
      </w:pPr>
      <w:r>
        <w:rPr>
          <w:b/>
          <w:color w:val="F3B83F"/>
          <w:sz w:val="16"/>
        </w:rPr>
        <w:t>FUND CATEGORIES</w:t>
      </w:r>
    </w:p>
    <w:p>
      <w:pPr>
        <w:spacing w:before="320" w:after="80"/>
      </w:pPr>
      <w:r>
        <w:rPr>
          <w:b/>
          <w:color w:val="263114"/>
          <w:sz w:val="32"/>
        </w:rPr>
        <w:t>Types of Mutual Funds</w:t>
      </w:r>
    </w:p>
    <w:p>
      <w:pPr>
        <w:spacing w:before="40" w:after="120"/>
      </w:pPr>
      <w:r>
        <w:rPr>
          <w:color w:val="55584E"/>
          <w:sz w:val="21"/>
        </w:rPr>
        <w:t>SEBI classifies mutual funds into equity, debt, hybrid, and solution-oriented categories. Each serves a different purpose in a diversified portfolio.</w:t>
      </w:r>
    </w:p>
    <w:p>
      <w:pPr>
        <w:spacing w:before="200" w:after="40"/>
      </w:pPr>
      <w:r>
        <w:rPr>
          <w:b/>
          <w:color w:val="202318"/>
          <w:sz w:val="24"/>
        </w:rPr>
        <w:t>Equity Funds</w:t>
      </w:r>
    </w:p>
    <w:p>
      <w:pPr>
        <w:spacing w:before="40" w:after="120"/>
      </w:pPr>
      <w:r>
        <w:rPr>
          <w:color w:val="55584E"/>
          <w:sz w:val="21"/>
        </w:rPr>
        <w:t>Invest primarily in stocks. Best for long-term wealth creation over 5+ years. Include large-cap, mid-cap, small-cap, and flexi-cap variants.</w:t>
      </w:r>
    </w:p>
    <w:p>
      <w:pPr>
        <w:spacing w:before="200" w:after="40"/>
      </w:pPr>
      <w:r>
        <w:rPr>
          <w:b/>
          <w:color w:val="202318"/>
          <w:sz w:val="24"/>
        </w:rPr>
        <w:t>Debt Funds</w:t>
      </w:r>
    </w:p>
    <w:p>
      <w:pPr>
        <w:spacing w:before="40" w:after="120"/>
      </w:pPr>
      <w:r>
        <w:rPr>
          <w:color w:val="55584E"/>
          <w:sz w:val="21"/>
        </w:rPr>
        <w:t>Invest in bonds, government securities, and money market instruments. Lower risk, stable returns. Suitable for 1–3 year horizons.</w:t>
      </w:r>
    </w:p>
    <w:p>
      <w:pPr>
        <w:spacing w:before="200" w:after="40"/>
      </w:pPr>
      <w:r>
        <w:rPr>
          <w:b/>
          <w:color w:val="202318"/>
          <w:sz w:val="24"/>
        </w:rPr>
        <w:t>Hybrid Funds</w:t>
      </w:r>
    </w:p>
    <w:p>
      <w:pPr>
        <w:spacing w:before="40" w:after="120"/>
      </w:pPr>
      <w:r>
        <w:rPr>
          <w:color w:val="55584E"/>
          <w:sz w:val="21"/>
        </w:rPr>
        <w:t>Blend of equity and debt. Balanced advantage funds adjust the ratio dynamically based on market valuations.</w:t>
      </w:r>
    </w:p>
    <w:p>
      <w:pPr>
        <w:spacing w:before="200" w:after="40"/>
      </w:pPr>
      <w:r>
        <w:rPr>
          <w:b/>
          <w:color w:val="202318"/>
          <w:sz w:val="24"/>
        </w:rPr>
        <w:t>Index Funds</w:t>
      </w:r>
    </w:p>
    <w:p>
      <w:pPr>
        <w:spacing w:before="40" w:after="120"/>
      </w:pPr>
      <w:r>
        <w:rPr>
          <w:color w:val="55584E"/>
          <w:sz w:val="21"/>
        </w:rPr>
        <w:t>Passively track a benchmark index (NIFTY 50, SENSEX). Very low expense ratios. No fund manager risk.</w:t>
      </w:r>
    </w:p>
    <w:p>
      <w:pPr>
        <w:spacing w:before="200" w:after="40"/>
      </w:pPr>
      <w:r>
        <w:rPr>
          <w:b/>
          <w:color w:val="202318"/>
          <w:sz w:val="24"/>
        </w:rPr>
        <w:t>ELSS (Tax Saving)</w:t>
      </w:r>
    </w:p>
    <w:p>
      <w:pPr>
        <w:spacing w:before="40" w:after="120"/>
      </w:pPr>
      <w:r>
        <w:rPr>
          <w:color w:val="55584E"/>
          <w:sz w:val="21"/>
        </w:rPr>
        <w:t>Equity Linked Saving Scheme with 3-year lock-in. Eligible for ₹1.5 lakh deduction under Section 80C with highest return potential among 80C options.</w:t>
      </w:r>
    </w:p>
    <w:p>
      <w:pPr>
        <w:spacing w:before="200" w:after="40"/>
      </w:pPr>
      <w:r>
        <w:rPr>
          <w:b/>
          <w:color w:val="202318"/>
          <w:sz w:val="24"/>
        </w:rPr>
        <w:t>Liquid Funds</w:t>
      </w:r>
    </w:p>
    <w:p>
      <w:pPr>
        <w:spacing w:before="40" w:after="120"/>
      </w:pPr>
      <w:r>
        <w:rPr>
          <w:color w:val="55584E"/>
          <w:sz w:val="21"/>
        </w:rPr>
        <w:t>Invest in instruments with up to 91-day maturity. Ideal for parking surplus cash. Better returns than savings accounts with same-day redemption.</w:t>
      </w:r>
    </w:p>
    <w:p>
      <w:pPr>
        <w:spacing w:before="200" w:after="40"/>
      </w:pPr>
      <w:r>
        <w:rPr>
          <w:b/>
          <w:color w:val="202318"/>
          <w:sz w:val="24"/>
        </w:rPr>
        <w:t>Sectoral / Thematic</w:t>
      </w:r>
    </w:p>
    <w:p>
      <w:pPr>
        <w:spacing w:before="40" w:after="120"/>
      </w:pPr>
      <w:r>
        <w:rPr>
          <w:color w:val="55584E"/>
          <w:sz w:val="21"/>
        </w:rPr>
        <w:t>Focus on specific sectors (IT, pharma, banking) or themes (ESG, consumption). Higher concentration risk but strong outperformance in bull cycles.</w:t>
      </w:r>
    </w:p>
    <w:p>
      <w:pPr>
        <w:spacing w:before="200" w:after="40"/>
      </w:pPr>
      <w:r>
        <w:rPr>
          <w:b/>
          <w:color w:val="202318"/>
          <w:sz w:val="24"/>
        </w:rPr>
        <w:t>International Funds</w:t>
      </w:r>
    </w:p>
    <w:p>
      <w:pPr>
        <w:spacing w:before="40" w:after="120"/>
      </w:pPr>
      <w:r>
        <w:rPr>
          <w:color w:val="55584E"/>
          <w:sz w:val="21"/>
        </w:rPr>
        <w:t>Invest in global markets (US, China, Europe) through funds-of-funds. Portfolio diversification across geographies and currencies.</w:t>
      </w:r>
    </w:p>
    <w:p>
      <w:pPr>
        <w:spacing w:before="400" w:after="160"/>
        <w:shd w:val="clear" w:color="auto" w:fill="263114"/>
      </w:pPr>
      <w:r>
        <w:rPr>
          <w:b/>
          <w:color w:val="FFFFFF"/>
          <w:sz w:val="22"/>
        </w:rPr>
        <w:t xml:space="preserve">  SECTION 3 — HOW TO START INVESTING IN MUTUAL FUNDS  </w:t>
      </w:r>
    </w:p>
    <w:p>
      <w:pPr>
        <w:spacing w:before="280" w:after="40"/>
      </w:pPr>
      <w:r>
        <w:rPr>
          <w:b/>
          <w:color w:val="F3B83F"/>
          <w:sz w:val="16"/>
        </w:rPr>
        <w:t>GETTING STARTED</w:t>
      </w:r>
    </w:p>
    <w:p>
      <w:pPr>
        <w:spacing w:before="320" w:after="80"/>
      </w:pPr>
      <w:r>
        <w:rPr>
          <w:b/>
          <w:color w:val="263114"/>
          <w:sz w:val="32"/>
        </w:rPr>
        <w:t>How to Start Investing in Mutual Funds</w:t>
      </w:r>
    </w:p>
    <w:p>
      <w:pPr>
        <w:spacing w:before="200" w:after="40"/>
      </w:pPr>
      <w:r>
        <w:rPr>
          <w:b/>
          <w:color w:val="202318"/>
          <w:sz w:val="24"/>
        </w:rPr>
        <w:t>Step 01 — Open a Demat Account</w:t>
      </w:r>
    </w:p>
    <w:p>
      <w:pPr>
        <w:spacing w:before="40" w:after="120"/>
      </w:pPr>
      <w:r>
        <w:rPr>
          <w:color w:val="55584E"/>
          <w:sz w:val="21"/>
        </w:rPr>
        <w:t>A Demat account is needed to invest in direct mutual funds. Open one with Shriram in under 10 minutes — paperless KYC.</w:t>
      </w:r>
    </w:p>
    <w:p>
      <w:pPr>
        <w:spacing w:before="200" w:after="40"/>
      </w:pPr>
      <w:r>
        <w:rPr>
          <w:b/>
          <w:color w:val="202318"/>
          <w:sz w:val="24"/>
        </w:rPr>
        <w:t>Step 02 — Complete KYC</w:t>
      </w:r>
    </w:p>
    <w:p>
      <w:pPr>
        <w:spacing w:before="40" w:after="120"/>
      </w:pPr>
      <w:r>
        <w:rPr>
          <w:color w:val="55584E"/>
          <w:sz w:val="21"/>
        </w:rPr>
        <w:t>One-time KYC using Aadhaar OTP on the SEBI-registered platform. Required for all mutual fund investments in India.</w:t>
      </w:r>
    </w:p>
    <w:p>
      <w:pPr>
        <w:spacing w:before="200" w:after="40"/>
      </w:pPr>
      <w:r>
        <w:rPr>
          <w:b/>
          <w:color w:val="202318"/>
          <w:sz w:val="24"/>
        </w:rPr>
        <w:t>Step 03 — Choose Your Fund</w:t>
      </w:r>
    </w:p>
    <w:p>
      <w:pPr>
        <w:spacing w:before="40" w:after="120"/>
      </w:pPr>
      <w:r>
        <w:rPr>
          <w:color w:val="55584E"/>
          <w:sz w:val="21"/>
        </w:rPr>
        <w:t>Use Shriram's fund comparison and screener tools to select the right fund based on your goal, risk profile, and time horizon.</w:t>
      </w:r>
    </w:p>
    <w:p>
      <w:pPr>
        <w:spacing w:before="200" w:after="40"/>
      </w:pPr>
      <w:r>
        <w:rPr>
          <w:b/>
          <w:color w:val="202318"/>
          <w:sz w:val="24"/>
        </w:rPr>
        <w:t>Step 04 — Invest via SIP or Lump Sum</w:t>
      </w:r>
    </w:p>
    <w:p>
      <w:pPr>
        <w:spacing w:before="40" w:after="120"/>
      </w:pPr>
      <w:r>
        <w:rPr>
          <w:color w:val="55584E"/>
          <w:sz w:val="21"/>
        </w:rPr>
        <w:t>Start a SIP with as little as ₹500/month or invest a lump sum. Track NAV, returns, and portfolio health on the Antara app.</w:t>
      </w:r>
    </w:p>
    <w:p>
      <w:pPr>
        <w:spacing w:before="400" w:after="160"/>
        <w:shd w:val="clear" w:color="auto" w:fill="263114"/>
      </w:pPr>
      <w:r>
        <w:rPr>
          <w:b/>
          <w:color w:val="FFFFFF"/>
          <w:sz w:val="22"/>
        </w:rPr>
        <w:t xml:space="preserve">  SECTION 4 — SIP vs LUMP SUM — WHICH IS RIGHT FOR YOU?  </w:t>
      </w:r>
    </w:p>
    <w:p>
      <w:pPr>
        <w:spacing w:before="280" w:after="40"/>
      </w:pPr>
      <w:r>
        <w:rPr>
          <w:b/>
          <w:color w:val="F3B83F"/>
          <w:sz w:val="16"/>
        </w:rPr>
        <w:t>STRATEGY</w:t>
      </w:r>
    </w:p>
    <w:p>
      <w:pPr>
        <w:spacing w:before="320" w:after="80"/>
      </w:pPr>
      <w:r>
        <w:rPr>
          <w:b/>
          <w:color w:val="263114"/>
          <w:sz w:val="32"/>
        </w:rPr>
        <w:t>SIP vs Lump Sum — Which Is Right for You?</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263114"/>
          </w:tcPr>
          <w:p>
            <w:r/>
            <w:r>
              <w:rPr>
                <w:b/>
                <w:color w:val="F3B83F"/>
                <w:sz w:val="18"/>
              </w:rPr>
              <w:t>Feature</w:t>
            </w:r>
          </w:p>
        </w:tc>
        <w:tc>
          <w:tcPr>
            <w:tcW w:type="dxa" w:w="3600"/>
            <w:shd w:val="clear" w:color="auto" w:fill="263114"/>
          </w:tcPr>
          <w:p>
            <w:r/>
            <w:r>
              <w:rPr>
                <w:b/>
                <w:color w:val="F3B83F"/>
                <w:sz w:val="18"/>
              </w:rPr>
              <w:t>SIP</w:t>
            </w:r>
          </w:p>
        </w:tc>
        <w:tc>
          <w:tcPr>
            <w:tcW w:type="dxa" w:w="3600"/>
            <w:shd w:val="clear" w:color="auto" w:fill="263114"/>
          </w:tcPr>
          <w:p>
            <w:r/>
            <w:r>
              <w:rPr>
                <w:b/>
                <w:color w:val="F3B83F"/>
                <w:sz w:val="18"/>
              </w:rPr>
              <w:t>Lump Sum</w:t>
            </w:r>
          </w:p>
        </w:tc>
      </w:tr>
      <w:tr>
        <w:tc>
          <w:tcPr>
            <w:tcW w:type="dxa" w:w="2592"/>
            <w:shd w:val="clear" w:color="auto" w:fill="F8F6F1"/>
          </w:tcPr>
          <w:p>
            <w:r/>
            <w:r>
              <w:rPr>
                <w:b/>
                <w:color w:val="202318"/>
                <w:sz w:val="20"/>
              </w:rPr>
              <w:t>Timing Risk</w:t>
            </w:r>
          </w:p>
        </w:tc>
        <w:tc>
          <w:tcPr>
            <w:tcW w:type="dxa" w:w="3600"/>
            <w:shd w:val="clear" w:color="auto" w:fill="F8F6F1"/>
          </w:tcPr>
          <w:p>
            <w:r/>
            <w:r>
              <w:rPr>
                <w:b w:val="0"/>
                <w:color w:val="55584E"/>
                <w:sz w:val="20"/>
              </w:rPr>
              <w:t>Low — averages market entry (rupee cost averaging)</w:t>
            </w:r>
          </w:p>
        </w:tc>
        <w:tc>
          <w:tcPr>
            <w:tcW w:type="dxa" w:w="3600"/>
            <w:shd w:val="clear" w:color="auto" w:fill="F8F6F1"/>
          </w:tcPr>
          <w:p>
            <w:r/>
            <w:r>
              <w:rPr>
                <w:b w:val="0"/>
                <w:color w:val="55584E"/>
                <w:sz w:val="20"/>
              </w:rPr>
              <w:t>High — market timing matters significantly</w:t>
            </w:r>
          </w:p>
        </w:tc>
      </w:tr>
      <w:tr>
        <w:tc>
          <w:tcPr>
            <w:tcW w:type="dxa" w:w="2592"/>
            <w:shd w:val="clear" w:color="auto" w:fill="FFFFFF"/>
          </w:tcPr>
          <w:p>
            <w:r/>
            <w:r>
              <w:rPr>
                <w:b/>
                <w:color w:val="202318"/>
                <w:sz w:val="20"/>
              </w:rPr>
              <w:t>Capital Required</w:t>
            </w:r>
          </w:p>
        </w:tc>
        <w:tc>
          <w:tcPr>
            <w:tcW w:type="dxa" w:w="3600"/>
            <w:shd w:val="clear" w:color="auto" w:fill="FFFFFF"/>
          </w:tcPr>
          <w:p>
            <w:r/>
            <w:r>
              <w:rPr>
                <w:b w:val="0"/>
                <w:color w:val="55584E"/>
                <w:sz w:val="20"/>
              </w:rPr>
              <w:t>As low as ₹500/month</w:t>
            </w:r>
          </w:p>
        </w:tc>
        <w:tc>
          <w:tcPr>
            <w:tcW w:type="dxa" w:w="3600"/>
            <w:shd w:val="clear" w:color="auto" w:fill="FFFFFF"/>
          </w:tcPr>
          <w:p>
            <w:r/>
            <w:r>
              <w:rPr>
                <w:b w:val="0"/>
                <w:color w:val="55584E"/>
                <w:sz w:val="20"/>
              </w:rPr>
              <w:t>Typically ₹1,000 or more at once</w:t>
            </w:r>
          </w:p>
        </w:tc>
      </w:tr>
      <w:tr>
        <w:tc>
          <w:tcPr>
            <w:tcW w:type="dxa" w:w="2592"/>
            <w:shd w:val="clear" w:color="auto" w:fill="F8F6F1"/>
          </w:tcPr>
          <w:p>
            <w:r/>
            <w:r>
              <w:rPr>
                <w:b/>
                <w:color w:val="202318"/>
                <w:sz w:val="20"/>
              </w:rPr>
              <w:t>Discipline</w:t>
            </w:r>
          </w:p>
        </w:tc>
        <w:tc>
          <w:tcPr>
            <w:tcW w:type="dxa" w:w="3600"/>
            <w:shd w:val="clear" w:color="auto" w:fill="F8F6F1"/>
          </w:tcPr>
          <w:p>
            <w:r/>
            <w:r>
              <w:rPr>
                <w:b w:val="0"/>
                <w:color w:val="55584E"/>
                <w:sz w:val="20"/>
              </w:rPr>
              <w:t>High — automated regular investing</w:t>
            </w:r>
          </w:p>
        </w:tc>
        <w:tc>
          <w:tcPr>
            <w:tcW w:type="dxa" w:w="3600"/>
            <w:shd w:val="clear" w:color="auto" w:fill="F8F6F1"/>
          </w:tcPr>
          <w:p>
            <w:r/>
            <w:r>
              <w:rPr>
                <w:b w:val="0"/>
                <w:color w:val="55584E"/>
                <w:sz w:val="20"/>
              </w:rPr>
              <w:t>Requires manual decision for each investment</w:t>
            </w:r>
          </w:p>
        </w:tc>
      </w:tr>
      <w:tr>
        <w:tc>
          <w:tcPr>
            <w:tcW w:type="dxa" w:w="2592"/>
            <w:shd w:val="clear" w:color="auto" w:fill="FFFFFF"/>
          </w:tcPr>
          <w:p>
            <w:r/>
            <w:r>
              <w:rPr>
                <w:b/>
                <w:color w:val="202318"/>
                <w:sz w:val="20"/>
              </w:rPr>
              <w:t>Best For</w:t>
            </w:r>
          </w:p>
        </w:tc>
        <w:tc>
          <w:tcPr>
            <w:tcW w:type="dxa" w:w="3600"/>
            <w:shd w:val="clear" w:color="auto" w:fill="FFFFFF"/>
          </w:tcPr>
          <w:p>
            <w:r/>
            <w:r>
              <w:rPr>
                <w:b w:val="0"/>
                <w:color w:val="55584E"/>
                <w:sz w:val="20"/>
              </w:rPr>
              <w:t>Salaried investors with regular income</w:t>
            </w:r>
          </w:p>
        </w:tc>
        <w:tc>
          <w:tcPr>
            <w:tcW w:type="dxa" w:w="3600"/>
            <w:shd w:val="clear" w:color="auto" w:fill="FFFFFF"/>
          </w:tcPr>
          <w:p>
            <w:r/>
            <w:r>
              <w:rPr>
                <w:b w:val="0"/>
                <w:color w:val="55584E"/>
                <w:sz w:val="20"/>
              </w:rPr>
              <w:t>Investors with idle surplus (bonuses, FD maturity)</w:t>
            </w:r>
          </w:p>
        </w:tc>
      </w:tr>
      <w:tr>
        <w:tc>
          <w:tcPr>
            <w:tcW w:type="dxa" w:w="2592"/>
            <w:shd w:val="clear" w:color="auto" w:fill="F8F6F1"/>
          </w:tcPr>
          <w:p>
            <w:r/>
            <w:r>
              <w:rPr>
                <w:b/>
                <w:color w:val="202318"/>
                <w:sz w:val="20"/>
              </w:rPr>
              <w:t>Returns in Bull Market</w:t>
            </w:r>
          </w:p>
        </w:tc>
        <w:tc>
          <w:tcPr>
            <w:tcW w:type="dxa" w:w="3600"/>
            <w:shd w:val="clear" w:color="auto" w:fill="F8F6F1"/>
          </w:tcPr>
          <w:p>
            <w:r/>
            <w:r>
              <w:rPr>
                <w:b w:val="0"/>
                <w:color w:val="55584E"/>
                <w:sz w:val="20"/>
              </w:rPr>
              <w:t>Moderate — gradual entry misses early rally</w:t>
            </w:r>
          </w:p>
        </w:tc>
        <w:tc>
          <w:tcPr>
            <w:tcW w:type="dxa" w:w="3600"/>
            <w:shd w:val="clear" w:color="auto" w:fill="F8F6F1"/>
          </w:tcPr>
          <w:p>
            <w:r/>
            <w:r>
              <w:rPr>
                <w:b w:val="0"/>
                <w:color w:val="55584E"/>
                <w:sz w:val="20"/>
              </w:rPr>
              <w:t>High — full exposure from day one</w:t>
            </w:r>
          </w:p>
        </w:tc>
      </w:tr>
      <w:tr>
        <w:tc>
          <w:tcPr>
            <w:tcW w:type="dxa" w:w="2592"/>
            <w:shd w:val="clear" w:color="auto" w:fill="FFFFFF"/>
          </w:tcPr>
          <w:p>
            <w:r/>
            <w:r>
              <w:rPr>
                <w:b/>
                <w:color w:val="202318"/>
                <w:sz w:val="20"/>
              </w:rPr>
              <w:t>Returns in Bear Market</w:t>
            </w:r>
          </w:p>
        </w:tc>
        <w:tc>
          <w:tcPr>
            <w:tcW w:type="dxa" w:w="3600"/>
            <w:shd w:val="clear" w:color="auto" w:fill="FFFFFF"/>
          </w:tcPr>
          <w:p>
            <w:r/>
            <w:r>
              <w:rPr>
                <w:b w:val="0"/>
                <w:color w:val="55584E"/>
                <w:sz w:val="20"/>
              </w:rPr>
              <w:t>Better — lower average cost from dips</w:t>
            </w:r>
          </w:p>
        </w:tc>
        <w:tc>
          <w:tcPr>
            <w:tcW w:type="dxa" w:w="3600"/>
            <w:shd w:val="clear" w:color="auto" w:fill="FFFFFF"/>
          </w:tcPr>
          <w:p>
            <w:r/>
            <w:r>
              <w:rPr>
                <w:b w:val="0"/>
                <w:color w:val="55584E"/>
                <w:sz w:val="20"/>
              </w:rPr>
              <w:t>Lower — exposed to full downside immediately</w:t>
            </w:r>
          </w:p>
        </w:tc>
      </w:tr>
    </w:tbl>
    <w:p/>
    <w:p>
      <w:pPr>
        <w:spacing w:before="400" w:after="160"/>
        <w:shd w:val="clear" w:color="auto" w:fill="263114"/>
      </w:pPr>
      <w:r>
        <w:rPr>
          <w:b/>
          <w:color w:val="FFFFFF"/>
          <w:sz w:val="22"/>
        </w:rPr>
        <w:t xml:space="preserve">  SECTION 5 — TAX ON MUTUAL FUND RETURNS  </w:t>
      </w:r>
    </w:p>
    <w:p>
      <w:pPr>
        <w:spacing w:before="280" w:after="40"/>
      </w:pPr>
      <w:r>
        <w:rPr>
          <w:b/>
          <w:color w:val="F3B83F"/>
          <w:sz w:val="16"/>
        </w:rPr>
        <w:t>TAXATION</w:t>
      </w:r>
    </w:p>
    <w:p>
      <w:pPr>
        <w:spacing w:before="320" w:after="80"/>
      </w:pPr>
      <w:r>
        <w:rPr>
          <w:b/>
          <w:color w:val="263114"/>
          <w:sz w:val="32"/>
        </w:rPr>
        <w:t>Tax on Mutual Fund Returns</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263114"/>
          </w:tcPr>
          <w:p>
            <w:r/>
            <w:r>
              <w:rPr>
                <w:b/>
                <w:color w:val="F3B83F"/>
                <w:sz w:val="18"/>
              </w:rPr>
              <w:t>Feature</w:t>
            </w:r>
          </w:p>
        </w:tc>
        <w:tc>
          <w:tcPr>
            <w:tcW w:type="dxa" w:w="3600"/>
            <w:shd w:val="clear" w:color="auto" w:fill="263114"/>
          </w:tcPr>
          <w:p>
            <w:r/>
            <w:r>
              <w:rPr>
                <w:b/>
                <w:color w:val="F3B83F"/>
                <w:sz w:val="18"/>
              </w:rPr>
              <w:t>Short Term (STCG)</w:t>
            </w:r>
          </w:p>
        </w:tc>
        <w:tc>
          <w:tcPr>
            <w:tcW w:type="dxa" w:w="3600"/>
            <w:shd w:val="clear" w:color="auto" w:fill="263114"/>
          </w:tcPr>
          <w:p>
            <w:r/>
            <w:r>
              <w:rPr>
                <w:b/>
                <w:color w:val="F3B83F"/>
                <w:sz w:val="18"/>
              </w:rPr>
              <w:t>Long Term (LTCG)</w:t>
            </w:r>
          </w:p>
        </w:tc>
      </w:tr>
      <w:tr>
        <w:tc>
          <w:tcPr>
            <w:tcW w:type="dxa" w:w="2592"/>
            <w:shd w:val="clear" w:color="auto" w:fill="F8F6F1"/>
          </w:tcPr>
          <w:p>
            <w:r/>
            <w:r>
              <w:rPr>
                <w:b/>
                <w:color w:val="202318"/>
                <w:sz w:val="20"/>
              </w:rPr>
              <w:t>Holding Period (Equity MF)</w:t>
            </w:r>
          </w:p>
        </w:tc>
        <w:tc>
          <w:tcPr>
            <w:tcW w:type="dxa" w:w="3600"/>
            <w:shd w:val="clear" w:color="auto" w:fill="F8F6F1"/>
          </w:tcPr>
          <w:p>
            <w:r/>
            <w:r>
              <w:rPr>
                <w:b w:val="0"/>
                <w:color w:val="55584E"/>
                <w:sz w:val="20"/>
              </w:rPr>
              <w:t>Up to 12 months</w:t>
            </w:r>
          </w:p>
        </w:tc>
        <w:tc>
          <w:tcPr>
            <w:tcW w:type="dxa" w:w="3600"/>
            <w:shd w:val="clear" w:color="auto" w:fill="F8F6F1"/>
          </w:tcPr>
          <w:p>
            <w:r/>
            <w:r>
              <w:rPr>
                <w:b w:val="0"/>
                <w:color w:val="55584E"/>
                <w:sz w:val="20"/>
              </w:rPr>
              <w:t>More than 12 months</w:t>
            </w:r>
          </w:p>
        </w:tc>
      </w:tr>
      <w:tr>
        <w:tc>
          <w:tcPr>
            <w:tcW w:type="dxa" w:w="2592"/>
            <w:shd w:val="clear" w:color="auto" w:fill="FFFFFF"/>
          </w:tcPr>
          <w:p>
            <w:r/>
            <w:r>
              <w:rPr>
                <w:b/>
                <w:color w:val="202318"/>
                <w:sz w:val="20"/>
              </w:rPr>
              <w:t>Tax Rate (Equity MF)</w:t>
            </w:r>
          </w:p>
        </w:tc>
        <w:tc>
          <w:tcPr>
            <w:tcW w:type="dxa" w:w="3600"/>
            <w:shd w:val="clear" w:color="auto" w:fill="FFFFFF"/>
          </w:tcPr>
          <w:p>
            <w:r/>
            <w:r>
              <w:rPr>
                <w:b w:val="0"/>
                <w:color w:val="55584E"/>
                <w:sz w:val="20"/>
              </w:rPr>
              <w:t>20% flat</w:t>
            </w:r>
          </w:p>
        </w:tc>
        <w:tc>
          <w:tcPr>
            <w:tcW w:type="dxa" w:w="3600"/>
            <w:shd w:val="clear" w:color="auto" w:fill="FFFFFF"/>
          </w:tcPr>
          <w:p>
            <w:r/>
            <w:r>
              <w:rPr>
                <w:b w:val="0"/>
                <w:color w:val="55584E"/>
                <w:sz w:val="20"/>
              </w:rPr>
              <w:t>12.5% (above ₹1.25 lakh exemption)</w:t>
            </w:r>
          </w:p>
        </w:tc>
      </w:tr>
      <w:tr>
        <w:tc>
          <w:tcPr>
            <w:tcW w:type="dxa" w:w="2592"/>
            <w:shd w:val="clear" w:color="auto" w:fill="F8F6F1"/>
          </w:tcPr>
          <w:p>
            <w:r/>
            <w:r>
              <w:rPr>
                <w:b/>
                <w:color w:val="202318"/>
                <w:sz w:val="20"/>
              </w:rPr>
              <w:t>Holding Period (Debt MF)</w:t>
            </w:r>
          </w:p>
        </w:tc>
        <w:tc>
          <w:tcPr>
            <w:tcW w:type="dxa" w:w="3600"/>
            <w:shd w:val="clear" w:color="auto" w:fill="F8F6F1"/>
          </w:tcPr>
          <w:p>
            <w:r/>
            <w:r>
              <w:rPr>
                <w:b w:val="0"/>
                <w:color w:val="55584E"/>
                <w:sz w:val="20"/>
              </w:rPr>
              <w:t>Up to 24 months</w:t>
            </w:r>
          </w:p>
        </w:tc>
        <w:tc>
          <w:tcPr>
            <w:tcW w:type="dxa" w:w="3600"/>
            <w:shd w:val="clear" w:color="auto" w:fill="F8F6F1"/>
          </w:tcPr>
          <w:p>
            <w:r/>
            <w:r>
              <w:rPr>
                <w:b w:val="0"/>
                <w:color w:val="55584E"/>
                <w:sz w:val="20"/>
              </w:rPr>
              <w:t>More than 24 months</w:t>
            </w:r>
          </w:p>
        </w:tc>
      </w:tr>
      <w:tr>
        <w:tc>
          <w:tcPr>
            <w:tcW w:type="dxa" w:w="2592"/>
            <w:shd w:val="clear" w:color="auto" w:fill="FFFFFF"/>
          </w:tcPr>
          <w:p>
            <w:r/>
            <w:r>
              <w:rPr>
                <w:b/>
                <w:color w:val="202318"/>
                <w:sz w:val="20"/>
              </w:rPr>
              <w:t>Tax Rate (Debt MF)</w:t>
            </w:r>
          </w:p>
        </w:tc>
        <w:tc>
          <w:tcPr>
            <w:tcW w:type="dxa" w:w="3600"/>
            <w:shd w:val="clear" w:color="auto" w:fill="FFFFFF"/>
          </w:tcPr>
          <w:p>
            <w:r/>
            <w:r>
              <w:rPr>
                <w:b w:val="0"/>
                <w:color w:val="55584E"/>
                <w:sz w:val="20"/>
              </w:rPr>
              <w:t>As per income tax slab</w:t>
            </w:r>
          </w:p>
        </w:tc>
        <w:tc>
          <w:tcPr>
            <w:tcW w:type="dxa" w:w="3600"/>
            <w:shd w:val="clear" w:color="auto" w:fill="FFFFFF"/>
          </w:tcPr>
          <w:p>
            <w:r/>
            <w:r>
              <w:rPr>
                <w:b w:val="0"/>
                <w:color w:val="55584E"/>
                <w:sz w:val="20"/>
              </w:rPr>
              <w:t>As per income tax slab (no indexation from Apr 2023)</w:t>
            </w:r>
          </w:p>
        </w:tc>
      </w:tr>
    </w:tbl>
    <w:p/>
    <w:p>
      <w:pPr>
        <w:spacing w:before="400" w:after="160"/>
        <w:shd w:val="clear" w:color="auto" w:fill="263114"/>
      </w:pPr>
      <w:r>
        <w:rPr>
          <w:b/>
          <w:color w:val="FFFFFF"/>
          <w:sz w:val="22"/>
        </w:rPr>
        <w:t xml:space="preserve">  SECTION 6 — RISKS OF MUTUAL FUND INVESTING  </w:t>
      </w:r>
    </w:p>
    <w:p>
      <w:pPr>
        <w:spacing w:before="280" w:after="40"/>
      </w:pPr>
      <w:r>
        <w:rPr>
          <w:b/>
          <w:color w:val="F3B83F"/>
          <w:sz w:val="16"/>
        </w:rPr>
        <w:t>KNOW BEFORE YOU INVEST</w:t>
      </w:r>
    </w:p>
    <w:p>
      <w:pPr>
        <w:spacing w:before="320" w:after="80"/>
      </w:pPr>
      <w:r>
        <w:rPr>
          <w:b/>
          <w:color w:val="263114"/>
          <w:sz w:val="32"/>
        </w:rPr>
        <w:t>Risks of Mutual Fund Investing</w:t>
      </w:r>
    </w:p>
    <w:p>
      <w:pPr>
        <w:spacing w:before="200" w:after="40"/>
      </w:pPr>
      <w:r>
        <w:rPr>
          <w:b/>
          <w:color w:val="202318"/>
          <w:sz w:val="24"/>
        </w:rPr>
        <w:t>Market Risk</w:t>
      </w:r>
    </w:p>
    <w:p>
      <w:pPr>
        <w:spacing w:before="40" w:after="120"/>
      </w:pPr>
      <w:r>
        <w:rPr>
          <w:color w:val="55584E"/>
          <w:sz w:val="21"/>
        </w:rPr>
        <w:t>Equity mutual funds are subject to market risk. NAVs can fall when the broader market declines, especially in the short term.</w:t>
      </w:r>
    </w:p>
    <w:p>
      <w:pPr>
        <w:spacing w:before="200" w:after="40"/>
      </w:pPr>
      <w:r>
        <w:rPr>
          <w:b/>
          <w:color w:val="202318"/>
          <w:sz w:val="24"/>
        </w:rPr>
        <w:t>Fund Manager Risk</w:t>
      </w:r>
    </w:p>
    <w:p>
      <w:pPr>
        <w:spacing w:before="40" w:after="120"/>
      </w:pPr>
      <w:r>
        <w:rPr>
          <w:color w:val="55584E"/>
          <w:sz w:val="21"/>
        </w:rPr>
        <w:t>Actively managed funds depend on fund manager decisions. A change in fund manager or strategy can impact returns unpredictably.</w:t>
      </w:r>
    </w:p>
    <w:p>
      <w:pPr>
        <w:spacing w:before="200" w:after="40"/>
      </w:pPr>
      <w:r>
        <w:rPr>
          <w:b/>
          <w:color w:val="202318"/>
          <w:sz w:val="24"/>
        </w:rPr>
        <w:t>Concentration Risk</w:t>
      </w:r>
    </w:p>
    <w:p>
      <w:pPr>
        <w:spacing w:before="40" w:after="120"/>
      </w:pPr>
      <w:r>
        <w:rPr>
          <w:color w:val="55584E"/>
          <w:sz w:val="21"/>
        </w:rPr>
        <w:t>Sectoral and thematic funds with concentrated exposures can significantly underperform if that sector or theme falls out of favour.</w:t>
      </w:r>
    </w:p>
    <w:p>
      <w:pPr>
        <w:spacing w:before="200" w:after="40"/>
      </w:pPr>
      <w:r>
        <w:rPr>
          <w:b/>
          <w:color w:val="202318"/>
          <w:sz w:val="24"/>
        </w:rPr>
        <w:t>Expense Ratio</w:t>
      </w:r>
    </w:p>
    <w:p>
      <w:pPr>
        <w:spacing w:before="40" w:after="120"/>
      </w:pPr>
      <w:r>
        <w:rPr>
          <w:color w:val="55584E"/>
          <w:sz w:val="21"/>
        </w:rPr>
        <w:t>Annual fund management fees (TER) reduce your net returns. Direct plans have lower TERs than regular plans. Always compare expense ratios before investing.</w:t>
      </w:r>
    </w:p>
    <w:p>
      <w:pPr>
        <w:spacing w:before="400" w:after="160"/>
        <w:shd w:val="clear" w:color="auto" w:fill="263114"/>
      </w:pPr>
      <w:r>
        <w:rPr>
          <w:b/>
          <w:color w:val="FFFFFF"/>
          <w:sz w:val="22"/>
        </w:rPr>
        <w:t xml:space="preserve">  SECTION 7 — FREQUENTLY ASKED QUESTIONS  </w:t>
      </w:r>
    </w:p>
    <w:p>
      <w:pPr>
        <w:spacing w:before="280" w:after="40"/>
      </w:pPr>
      <w:r>
        <w:rPr>
          <w:b/>
          <w:color w:val="F3B83F"/>
          <w:sz w:val="16"/>
        </w:rPr>
        <w:t>FAQ</w:t>
      </w:r>
    </w:p>
    <w:p>
      <w:pPr>
        <w:spacing w:before="320" w:after="80"/>
      </w:pPr>
      <w:r>
        <w:rPr>
          <w:b/>
          <w:color w:val="263114"/>
          <w:sz w:val="32"/>
        </w:rPr>
        <w:t>Frequently Asked Questions</w:t>
      </w:r>
    </w:p>
    <w:p>
      <w:pPr>
        <w:spacing w:before="160"/>
      </w:pPr>
      <w:r>
        <w:rPr>
          <w:b/>
          <w:color w:val="202318"/>
          <w:sz w:val="21"/>
        </w:rPr>
        <w:t>Q: What is the difference between Direct and Regular mutual fund plans?</w:t>
      </w:r>
    </w:p>
    <w:p>
      <w:pPr>
        <w:spacing w:before="40" w:after="120"/>
      </w:pPr>
      <w:r>
        <w:rPr>
          <w:color w:val="55584E"/>
          <w:sz w:val="21"/>
        </w:rPr>
        <w:t>A: Direct plans are bought directly from the AMC (no distributor). Regular plans are bought through a distributor/agent who earns a commission from the AMC — this is embedded in the expense ratio. Direct plans have lower expense ratios and therefore higher returns over time. Shriram Financial Services offers Direct Plans with zero commission.</w:t>
      </w:r>
    </w:p>
    <w:p>
      <w:pPr>
        <w:spacing w:before="160"/>
      </w:pPr>
      <w:r>
        <w:rPr>
          <w:b/>
          <w:color w:val="202318"/>
          <w:sz w:val="21"/>
        </w:rPr>
        <w:t>Q: Can I start a SIP with ₹500 per month?</w:t>
      </w:r>
    </w:p>
    <w:p>
      <w:pPr>
        <w:spacing w:before="40" w:after="120"/>
      </w:pPr>
      <w:r>
        <w:rPr>
          <w:color w:val="55584E"/>
          <w:sz w:val="21"/>
        </w:rPr>
        <w:t>A: Yes. Most mutual funds allow SIPs starting from ₹500 per month. Some funds like small-cap and international funds may have higher minimums. With Shriram's platform, you can set up auto-debit SIPs across any fund with a few taps on the Antara app.</w:t>
      </w:r>
    </w:p>
    <w:p>
      <w:pPr>
        <w:spacing w:before="160"/>
      </w:pPr>
      <w:r>
        <w:rPr>
          <w:b/>
          <w:color w:val="202318"/>
          <w:sz w:val="21"/>
        </w:rPr>
        <w:t>Q: How is mutual fund NAV calculated?</w:t>
      </w:r>
    </w:p>
    <w:p>
      <w:pPr>
        <w:spacing w:before="40" w:after="120"/>
      </w:pPr>
      <w:r>
        <w:rPr>
          <w:color w:val="55584E"/>
          <w:sz w:val="21"/>
        </w:rPr>
        <w:t>A: NAV (Net Asset Value) is calculated daily after market close: NAV = (Total Assets - Liabilities) / Number of Units Outstanding. When you buy a mutual fund at NAV ₹50 and sell when NAV is ₹75, your return is 50% (excluding exit load and taxes).</w:t>
      </w:r>
    </w:p>
    <w:p>
      <w:pPr>
        <w:spacing w:before="160"/>
      </w:pPr>
      <w:r>
        <w:rPr>
          <w:b/>
          <w:color w:val="202318"/>
          <w:sz w:val="21"/>
        </w:rPr>
        <w:t>Q: What is an exit load in mutual funds?</w:t>
      </w:r>
    </w:p>
    <w:p>
      <w:pPr>
        <w:spacing w:before="40" w:after="120"/>
      </w:pPr>
      <w:r>
        <w:rPr>
          <w:color w:val="55584E"/>
          <w:sz w:val="21"/>
        </w:rPr>
        <w:t>A: Exit load is a fee charged when you redeem units before a specified holding period. Most equity funds charge 1% exit load if redeemed within 1 year of purchase. Liquid funds have a graded exit load for the first 7 days. ELSS funds have no exit load (3-year mandatory lock-in instead).</w:t>
      </w:r>
    </w:p>
    <w:p>
      <w:pPr>
        <w:spacing w:before="160"/>
      </w:pPr>
      <w:r>
        <w:rPr>
          <w:b/>
          <w:color w:val="202318"/>
          <w:sz w:val="21"/>
        </w:rPr>
        <w:t>Q: Is mutual fund investment safe compared to fixed deposits?</w:t>
      </w:r>
    </w:p>
    <w:p>
      <w:pPr>
        <w:spacing w:before="40" w:after="120"/>
      </w:pPr>
      <w:r>
        <w:rPr>
          <w:color w:val="55584E"/>
          <w:sz w:val="21"/>
        </w:rPr>
        <w:t>A: Mutual funds (especially equity funds) carry market risk and are not capital-guaranteed like bank FDs. However, over 5–10 year periods, equity mutual funds have historically delivered significantly higher inflation-adjusted returns than FDs. Debt mutual funds carry lower risk than equity funds but still have interest rate and credit risk.</w:t>
      </w:r>
    </w:p>
    <w:p>
      <w:pPr>
        <w:spacing w:before="400" w:after="160"/>
        <w:shd w:val="clear" w:color="auto" w:fill="263114"/>
      </w:pPr>
      <w:r>
        <w:rPr>
          <w:b/>
          <w:color w:val="FFFFFF"/>
          <w:sz w:val="22"/>
        </w:rPr>
        <w:t xml:space="preserve">  SECTION 8 — BOTTOM CTA BANNER  </w:t>
      </w:r>
    </w:p>
    <w:p>
      <w:pPr>
        <w:spacing w:before="320" w:after="80"/>
      </w:pPr>
      <w:r>
        <w:rPr>
          <w:b/>
          <w:color w:val="263114"/>
          <w:sz w:val="32"/>
        </w:rPr>
        <w:t>Start Your Mutual Fund Journey Today</w:t>
      </w:r>
    </w:p>
    <w:p>
      <w:pPr>
        <w:spacing w:before="40" w:after="120"/>
      </w:pPr>
      <w:r>
        <w:rPr>
          <w:color w:val="55584E"/>
          <w:sz w:val="21"/>
        </w:rPr>
        <w:t>Open a free Demat account and invest in 3,000+ direct mutual funds with zero commission and expert advisory guidance.</w:t>
      </w:r>
    </w:p>
    <w:p>
      <w:pPr>
        <w:spacing w:before="200" w:after="40"/>
      </w:pPr>
      <w:r>
        <w:rPr>
          <w:b/>
          <w:color w:val="202318"/>
          <w:sz w:val="24"/>
        </w:rPr>
        <w:t>CTA Buttons</w:t>
      </w:r>
    </w:p>
    <w:p>
      <w:pPr>
        <w:pStyle w:val="ListBullet"/>
        <w:spacing w:before="20" w:after="20"/>
      </w:pPr>
      <w:r>
        <w:rPr>
          <w:color w:val="55584E"/>
          <w:sz w:val="20"/>
        </w:rPr>
        <w:t>Start Investing →  /about/open-demat-account/</w:t>
      </w:r>
    </w:p>
    <w:p>
      <w:pPr>
        <w:pStyle w:val="ListBullet"/>
        <w:spacing w:before="20" w:after="20"/>
      </w:pPr>
      <w:r>
        <w:rPr>
          <w:color w:val="55584E"/>
          <w:sz w:val="20"/>
        </w:rPr>
        <w:t>Talk to an RM  →  /about/support/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