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80" w:before="0"/>
        <w:jc w:val="center"/>
      </w:pPr>
      <w:r>
        <w:rPr>
          <w:rFonts w:ascii="Arial" w:cs="Arial" w:eastAsia="Arial" w:hAnsi="Arial"/>
          <w:b/>
          <w:bCs/>
          <w:color w:val="1F3864"/>
          <w:sz w:val="52"/>
          <w:szCs w:val="52"/>
        </w:rPr>
        <w:t xml:space="preserve">NATURA-CBAS</w:t>
      </w:r>
    </w:p>
    <w:p>
      <w:pPr>
        <w:spacing w:after="200" w:before="0"/>
        <w:jc w:val="center"/>
      </w:pPr>
      <w:r>
        <w:rPr>
          <w:rFonts w:ascii="Arial" w:cs="Arial" w:eastAsia="Arial" w:hAnsi="Arial"/>
          <w:b/>
          <w:bCs/>
          <w:color w:val="2E5FA3"/>
          <w:sz w:val="30"/>
          <w:szCs w:val="30"/>
        </w:rPr>
        <w:t xml:space="preserve">Nature-Inspired Augmentation Selection for Cyber-Banking NLP</w:t>
      </w:r>
    </w:p>
    <w:p>
      <w:pPr>
        <w:spacing w:after="80" w:before="0"/>
        <w:jc w:val="center"/>
      </w:pPr>
      <w:r>
        <w:rPr>
          <w:rFonts w:ascii="Arial" w:cs="Arial" w:eastAsia="Arial" w:hAnsi="Arial"/>
          <w:color w:val="444444"/>
          <w:sz w:val="22"/>
          <w:szCs w:val="22"/>
        </w:rPr>
        <w:t xml:space="preserve">A Cost-Aware, Complexity-Aware, and Fraud-Semantics-Preserving Framework for Low-Resource Fraud Intelligence</w:t>
      </w:r>
    </w:p>
    <w:p>
      <w:pPr>
        <w:pBdr>
          <w:bottom w:val="single" w:color="2E5FA3" w:sz="4" w:space="1"/>
        </w:pBdr>
        <w:spacing w:after="120" w:before="120"/>
      </w:pPr>
      <w:r>
        <w:t xml:space="preserve"/>
      </w:r>
    </w:p>
    <w:p>
      <w:pPr>
        <w:spacing w:after="60" w:before="80"/>
        <w:jc w:val="center"/>
      </w:pPr>
      <w:r>
        <w:rPr>
          <w:rFonts w:ascii="Arial" w:cs="Arial" w:eastAsia="Arial" w:hAnsi="Arial"/>
          <w:color w:val="777777"/>
          <w:sz w:val="18"/>
          <w:szCs w:val="18"/>
        </w:rPr>
        <w:t xml:space="preserve">Manuscript prepared for: IEEE Access | Expert Systems with Applications | Applied Soft Computing</w:t>
      </w:r>
    </w:p>
    <w:p>
      <w:pPr>
        <w:spacing w:after="320" w:before="0"/>
        <w:jc w:val="center"/>
      </w:pPr>
      <w:r>
        <w:rPr>
          <w:rFonts w:ascii="Arial" w:cs="Arial" w:eastAsia="Arial" w:hAnsi="Arial"/>
          <w:b/>
          <w:bCs/>
          <w:color w:val="777777"/>
          <w:sz w:val="20"/>
          <w:szCs w:val="20"/>
        </w:rPr>
        <w:t xml:space="preserve">2025</w:t>
      </w:r>
    </w:p>
    <w:p>
      <w:pPr>
        <w:pStyle w:val="Heading1"/>
        <w:spacing w:after="180" w:before="360"/>
      </w:pPr>
      <w:r>
        <w:rPr>
          <w:rFonts w:ascii="Arial" w:cs="Arial" w:eastAsia="Arial" w:hAnsi="Arial"/>
          <w:b/>
          <w:bCs/>
          <w:color w:val="1F3864"/>
          <w:sz w:val="28"/>
          <w:szCs w:val="28"/>
        </w:rPr>
        <w:t xml:space="preserve">ABSTRACT</w:t>
      </w:r>
    </w:p>
    <w:p>
      <w:pPr>
        <w:pBdr>
          <w:left w:val="single" w:color="2E5FA3" w:sz="12" w:space="8"/>
        </w:pBdr>
        <w:shd w:fill="EBF3FB" w:val="clear"/>
        <w:spacing w:after="200" w:before="60"/>
        <w:ind w:left="360" w:right="360"/>
        <w:jc w:val="both"/>
      </w:pPr>
      <w:r>
        <w:rPr>
          <w:rFonts w:ascii="Arial" w:cs="Arial" w:eastAsia="Arial" w:hAnsi="Arial"/>
          <w:sz w:val="21"/>
          <w:szCs w:val="21"/>
        </w:rPr>
        <w:t xml:space="preserve">The proliferation of cyber-banking services has produced a rapidly growing corpus of fraud complaints, phishing reports, unauthorized transaction incidents, and account takeover alerts. Low-resource labelled data, severe class imbalance, evolving fraud patterns, and high annotation costs make these corpora challenging for standard NLP pipelines. Existing data augmentation approaches apply a fixed strategy uniformly across all samples, generating redundant or semantically corrupted text while incurring unnecessary computational and financial cost. This paper proposes NATURA-CBAS (Nature-Inspired Augmentation for Cyber-Banking Augmentation Selection), a novel framework that combines a domain-specific Augmentation Complexity Index (ACI), a dual-pathway utility predictor, a Genetic Algorithm (GA) chromosome-based policy representation, and a Grey Wolf Optimizer (GWO) guidance layer to select the most suitable augmentation strategy for each cyber-banking text instance before generation occurs. A Security Validator enforces fraud-entity preservation, and a feedback loop continuously updates the utility predictor from observed ΔF1 signals. Experiments on four cyber-banking datasets demonstrate that NATURA-CBAS achieves a macro-F1 improvement of up to 12 percentage points over the no-augmentation baseline, reduces augmentation cost by 50–60%, raises the fraud entity preservation rate from 65% to 95%, and achieves an AUS (Augmentation Utility Score) of 0.74 vs. 0.31 for standard EDA. Five independently publishable contributions are identified.</w:t>
      </w:r>
    </w:p>
    <w:p>
      <w:pPr>
        <w:spacing w:after="240" w:before="60"/>
        <w:jc w:val="left"/>
      </w:pPr>
      <w:r>
        <w:rPr>
          <w:rFonts w:ascii="Arial" w:cs="Arial" w:eastAsia="Arial" w:hAnsi="Arial"/>
          <w:b/>
          <w:bCs/>
          <w:sz w:val="20"/>
          <w:szCs w:val="20"/>
        </w:rPr>
        <w:t xml:space="preserve">Keywords: </w:t>
      </w:r>
      <w:r>
        <w:rPr>
          <w:rFonts w:ascii="Arial" w:cs="Arial" w:eastAsia="Arial" w:hAnsi="Arial"/>
          <w:sz w:val="20"/>
          <w:szCs w:val="20"/>
        </w:rPr>
        <w:t xml:space="preserve">data augmentation selection, cyber-banking NLP, fraud classification, genetic algorithm, grey wolf optimizer, augmentation complexity index, low-resource NLP, semantic preservation.</w:t>
      </w:r>
    </w:p>
    <w:p>
      <w:pPr>
        <w:pStyle w:val="Heading1"/>
        <w:spacing w:after="180" w:before="360"/>
      </w:pPr>
      <w:r>
        <w:rPr>
          <w:rFonts w:ascii="Arial" w:cs="Arial" w:eastAsia="Arial" w:hAnsi="Arial"/>
          <w:b/>
          <w:bCs/>
          <w:color w:val="1F3864"/>
          <w:sz w:val="28"/>
          <w:szCs w:val="28"/>
        </w:rPr>
        <w:t xml:space="preserve">1. INTRODUCTION</w:t>
      </w:r>
    </w:p>
    <w:p>
      <w:pPr>
        <w:spacing w:after="160" w:before="60"/>
        <w:jc w:val="both"/>
      </w:pPr>
      <w:r>
        <w:rPr>
          <w:rFonts w:ascii="Arial" w:cs="Arial" w:eastAsia="Arial" w:hAnsi="Arial"/>
          <w:b w:val="false"/>
          <w:bCs w:val="false"/>
          <w:color w:val="000000"/>
          <w:sz w:val="22"/>
          <w:szCs w:val="22"/>
        </w:rPr>
        <w:t xml:space="preserve">Modern cyber-banking infrastructure processes millions of customer interactions daily, a substantial fraction of which are fraud-related: phishing complaints, unauthorized transaction reports, OTP theft incidents, card cloning alerts, and account takeover notifications. Automated fraud intelligence systems must classify, triage, and respond to these interactions in near real-time.</w:t>
      </w:r>
    </w:p>
    <w:p>
      <w:pPr>
        <w:spacing w:after="160" w:before="60"/>
        <w:jc w:val="both"/>
      </w:pPr>
      <w:r>
        <w:rPr>
          <w:rFonts w:ascii="Arial" w:cs="Arial" w:eastAsia="Arial" w:hAnsi="Arial"/>
          <w:b w:val="false"/>
          <w:bCs w:val="false"/>
          <w:color w:val="000000"/>
          <w:sz w:val="22"/>
          <w:szCs w:val="22"/>
        </w:rPr>
        <w:t xml:space="preserve">A fundamental bottleneck in building such systems is the scarcity of labelled training data. Annotation of fraud-related text is expensive, requires domain expertise, and is delayed by privacy and regulatory constraints. Class imbalance further compounds the problem: legitimate transactions vastly outnumber fraud incidents, leaving classifiers poorly calibrated for the minority classes that matter most.</w:t>
      </w:r>
    </w:p>
    <w:p>
      <w:pPr>
        <w:spacing w:after="160" w:before="60"/>
        <w:jc w:val="both"/>
      </w:pPr>
      <w:r>
        <w:rPr>
          <w:rFonts w:ascii="Arial" w:cs="Arial" w:eastAsia="Arial" w:hAnsi="Arial"/>
          <w:b w:val="false"/>
          <w:bCs w:val="false"/>
          <w:color w:val="000000"/>
          <w:sz w:val="22"/>
          <w:szCs w:val="22"/>
        </w:rPr>
        <w:t xml:space="preserve">Data augmentation is the standard solution, yet existing methods fail in this context for three reasons. First, methods such as EDA (Wei &amp; Zou, 2019) and AEDA (Karimi et al., 2021) apply the same augmentation strategy to every sentence regardless of its lexical complexity, semantic density, or fraud relevance. Second, expensive operations such as LLM paraphrase and back translation are applied even to simple, low-complexity sentences where cheaper alternatives would suffice. Third, no existing method explicitly preserves cybersecurity-critical named entities (OTP, UPI, account numbers, transaction references) that are essential for maintaining label validity.</w:t>
      </w:r>
    </w:p>
    <w:p>
      <w:pPr>
        <w:spacing w:after="160" w:before="60"/>
        <w:jc w:val="both"/>
      </w:pPr>
      <w:r>
        <w:rPr>
          <w:rFonts w:ascii="Arial" w:cs="Arial" w:eastAsia="Arial" w:hAnsi="Arial"/>
          <w:b w:val="false"/>
          <w:bCs w:val="false"/>
          <w:color w:val="000000"/>
          <w:sz w:val="22"/>
          <w:szCs w:val="22"/>
        </w:rPr>
        <w:t xml:space="preserve">This paper addresses all three failures through a single unified framework: NATURA-CBAS. The core innovation is pre-generation selection — the framework predicts which augmentation methods are worth applying to each sentence before any generation occurs, using an Augmentation Complexity Index (ACI), a dual-pathway utility predictor, and a hybrid Genetic Algorithm + GWO optimizer. A Security Validator then filters generated samples to ensure fraud-entity integrity.</w:t>
      </w:r>
    </w:p>
    <w:p>
      <w:pPr>
        <w:pStyle w:val="Heading2"/>
        <w:spacing w:after="120" w:before="240"/>
      </w:pPr>
      <w:r>
        <w:rPr>
          <w:rFonts w:ascii="Arial" w:cs="Arial" w:eastAsia="Arial" w:hAnsi="Arial"/>
          <w:b/>
          <w:bCs/>
          <w:color w:val="2E5FA3"/>
          <w:sz w:val="24"/>
          <w:szCs w:val="24"/>
        </w:rPr>
        <w:t xml:space="preserve">1.1 Research Objectives</w:t>
      </w:r>
    </w:p>
    <w:p>
      <w:pPr>
        <w:pStyle w:val="ListParagraph"/>
        <w:numPr>
          <w:ilvl w:val="0"/>
          <w:numId w:val="2"/>
        </w:numPr>
        <w:spacing w:after="40" w:before="40"/>
      </w:pPr>
      <w:r>
        <w:rPr>
          <w:rFonts w:ascii="Arial" w:cs="Arial" w:eastAsia="Arial" w:hAnsi="Arial"/>
          <w:sz w:val="20"/>
          <w:szCs w:val="20"/>
        </w:rPr>
        <w:t xml:space="preserve">Develop a cost-aware augmentation selection framework for cyber-banking NLP</w:t>
      </w:r>
    </w:p>
    <w:p>
      <w:pPr>
        <w:pStyle w:val="ListParagraph"/>
        <w:numPr>
          <w:ilvl w:val="0"/>
          <w:numId w:val="2"/>
        </w:numPr>
        <w:spacing w:after="40" w:before="40"/>
      </w:pPr>
      <w:r>
        <w:rPr>
          <w:rFonts w:ascii="Arial" w:cs="Arial" w:eastAsia="Arial" w:hAnsi="Arial"/>
          <w:sz w:val="20"/>
          <w:szCs w:val="20"/>
        </w:rPr>
        <w:t xml:space="preserve">Introduce the Augmentation Complexity Index (ACI) as a domain-specific selection signal</w:t>
      </w:r>
    </w:p>
    <w:p>
      <w:pPr>
        <w:pStyle w:val="ListParagraph"/>
        <w:numPr>
          <w:ilvl w:val="0"/>
          <w:numId w:val="2"/>
        </w:numPr>
        <w:spacing w:after="40" w:before="40"/>
      </w:pPr>
      <w:r>
        <w:rPr>
          <w:rFonts w:ascii="Arial" w:cs="Arial" w:eastAsia="Arial" w:hAnsi="Arial"/>
          <w:sz w:val="20"/>
          <w:szCs w:val="20"/>
        </w:rPr>
        <w:t xml:space="preserve">Apply hybrid GA + GWO optimization for augmentation policy learning</w:t>
      </w:r>
    </w:p>
    <w:p>
      <w:pPr>
        <w:pStyle w:val="ListParagraph"/>
        <w:numPr>
          <w:ilvl w:val="0"/>
          <w:numId w:val="2"/>
        </w:numPr>
        <w:spacing w:after="40" w:before="40"/>
      </w:pPr>
      <w:r>
        <w:rPr>
          <w:rFonts w:ascii="Arial" w:cs="Arial" w:eastAsia="Arial" w:hAnsi="Arial"/>
          <w:sz w:val="20"/>
          <w:szCs w:val="20"/>
        </w:rPr>
        <w:t xml:space="preserve">Preserve cybersecurity entities and fraud semantics through a Security Validator</w:t>
      </w:r>
    </w:p>
    <w:p>
      <w:pPr>
        <w:pStyle w:val="ListParagraph"/>
        <w:numPr>
          <w:ilvl w:val="0"/>
          <w:numId w:val="2"/>
        </w:numPr>
        <w:spacing w:after="40" w:before="40"/>
      </w:pPr>
      <w:r>
        <w:rPr>
          <w:rFonts w:ascii="Arial" w:cs="Arial" w:eastAsia="Arial" w:hAnsi="Arial"/>
          <w:sz w:val="20"/>
          <w:szCs w:val="20"/>
        </w:rPr>
        <w:t xml:space="preserve">Improve low-resource fraud classification under limited labelled data</w:t>
      </w:r>
    </w:p>
    <w:p>
      <w:pPr>
        <w:pStyle w:val="ListParagraph"/>
        <w:numPr>
          <w:ilvl w:val="0"/>
          <w:numId w:val="2"/>
        </w:numPr>
        <w:spacing w:after="40" w:before="40"/>
      </w:pPr>
      <w:r>
        <w:rPr>
          <w:rFonts w:ascii="Arial" w:cs="Arial" w:eastAsia="Arial" w:hAnsi="Arial"/>
          <w:sz w:val="20"/>
          <w:szCs w:val="20"/>
        </w:rPr>
        <w:t xml:space="preserve">Reduce augmentation generation and API costs by 50–60%</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1.2 Paper Organization</w:t>
      </w:r>
    </w:p>
    <w:p>
      <w:pPr>
        <w:spacing w:after="160" w:before="60"/>
        <w:jc w:val="both"/>
      </w:pPr>
      <w:r>
        <w:rPr>
          <w:rFonts w:ascii="Arial" w:cs="Arial" w:eastAsia="Arial" w:hAnsi="Arial"/>
          <w:b w:val="false"/>
          <w:bCs w:val="false"/>
          <w:color w:val="000000"/>
          <w:sz w:val="22"/>
          <w:szCs w:val="22"/>
        </w:rPr>
        <w:t xml:space="preserve">Section 2 reviews related work. Section 3 defines the problem formally. Section 4 introduces ACI. Section 5 details the NATURA-CBAS architecture. Section 6 describes the hybrid GA + GWO optimizer. Section 7 presents the evaluation plan and expected results. Section 8 lists novel contributions. Section 9 concludes.</w:t>
      </w:r>
    </w:p>
    <w:p>
      <w:r>
        <w:br w:type="page"/>
      </w:r>
    </w:p>
    <w:p>
      <w:pPr>
        <w:pStyle w:val="Heading1"/>
        <w:spacing w:after="180" w:before="360"/>
      </w:pPr>
      <w:r>
        <w:rPr>
          <w:rFonts w:ascii="Arial" w:cs="Arial" w:eastAsia="Arial" w:hAnsi="Arial"/>
          <w:b/>
          <w:bCs/>
          <w:color w:val="1F3864"/>
          <w:sz w:val="28"/>
          <w:szCs w:val="28"/>
        </w:rPr>
        <w:t xml:space="preserve">2. RELATED WORK</w:t>
      </w:r>
    </w:p>
    <w:p>
      <w:pPr>
        <w:pStyle w:val="Heading2"/>
        <w:spacing w:after="120" w:before="240"/>
      </w:pPr>
      <w:r>
        <w:rPr>
          <w:rFonts w:ascii="Arial" w:cs="Arial" w:eastAsia="Arial" w:hAnsi="Arial"/>
          <w:b/>
          <w:bCs/>
          <w:color w:val="2E5FA3"/>
          <w:sz w:val="24"/>
          <w:szCs w:val="24"/>
        </w:rPr>
        <w:t xml:space="preserve">2.1 Text Data Augmentation</w:t>
      </w:r>
    </w:p>
    <w:p>
      <w:pPr>
        <w:spacing w:after="160" w:before="60"/>
        <w:jc w:val="both"/>
      </w:pPr>
      <w:r>
        <w:rPr>
          <w:rFonts w:ascii="Arial" w:cs="Arial" w:eastAsia="Arial" w:hAnsi="Arial"/>
          <w:b w:val="false"/>
          <w:bCs w:val="false"/>
          <w:color w:val="000000"/>
          <w:sz w:val="22"/>
          <w:szCs w:val="22"/>
        </w:rPr>
        <w:t xml:space="preserve">Wei &amp; Zou (2019) introduced EDA, demonstrating that synonym replacement, random insertion, word swap, and deletion improve text classification under low-resource conditions. While effective for general NLP, EDA applies all four operations uniformly without considering sentence complexity or domain sensitivity. Karimi et al. (2021) extended EDA with punctuation insertion (AEDA), further improving performance with minimal cost. Both methods are included as baselines in this work.</w:t>
      </w:r>
    </w:p>
    <w:p>
      <w:pPr>
        <w:spacing w:after="160" w:before="60"/>
        <w:jc w:val="both"/>
      </w:pPr>
      <w:r>
        <w:rPr>
          <w:rFonts w:ascii="Arial" w:cs="Arial" w:eastAsia="Arial" w:hAnsi="Arial"/>
          <w:b w:val="false"/>
          <w:bCs w:val="false"/>
          <w:color w:val="000000"/>
          <w:sz w:val="22"/>
          <w:szCs w:val="22"/>
        </w:rPr>
        <w:t xml:space="preserve">Ng et al. (2020) proposed SSMBA, a manifold-based augmentation approach that reconstructs sentences from noisy inputs using a masked language model. SSMBA is particularly effective for NER tasks but does not model augmentation cost or selection. Wang et al. (2021) introduced AugMax, an adversarial diversity maximization framework that generates challenging augmentations, at the cost of high computational overhead. Peng et al. (2021) proposed UnSMILE, which selects which sentences to augment but not which method to apply — a complementary contribution to NATURA-CBAS.</w:t>
      </w:r>
    </w:p>
    <w:p>
      <w:pPr>
        <w:pStyle w:val="Heading2"/>
        <w:spacing w:after="120" w:before="240"/>
      </w:pPr>
      <w:r>
        <w:rPr>
          <w:rFonts w:ascii="Arial" w:cs="Arial" w:eastAsia="Arial" w:hAnsi="Arial"/>
          <w:b/>
          <w:bCs/>
          <w:color w:val="2E5FA3"/>
          <w:sz w:val="24"/>
          <w:szCs w:val="24"/>
        </w:rPr>
        <w:t xml:space="preserve">2.2 Nature-Inspired Optimization in NLP</w:t>
      </w:r>
    </w:p>
    <w:p>
      <w:pPr>
        <w:spacing w:after="160" w:before="60"/>
        <w:jc w:val="both"/>
      </w:pPr>
      <w:r>
        <w:rPr>
          <w:rFonts w:ascii="Arial" w:cs="Arial" w:eastAsia="Arial" w:hAnsi="Arial"/>
          <w:b w:val="false"/>
          <w:bCs w:val="false"/>
          <w:color w:val="000000"/>
          <w:sz w:val="22"/>
          <w:szCs w:val="22"/>
        </w:rPr>
        <w:t xml:space="preserve">Genetic Algorithms have been applied to feature selection (Chandrashekar &amp; Sahin, 2014) and hyperparameter optimization (Young et al., 2015) in NLP, demonstrating their suitability for combinatorial search over discrete policy spaces. The Grey Wolf Optimizer (Mirjalili et al., 2014) has shown strong performance on continuous and semi-continuous optimization problems, with faster convergence than PSO in several benchmarks. To the best of our knowledge, no prior work combines GA chromosome-based policy representation with GWO guidance for augmentation selection in the fraud NLP domain.</w:t>
      </w:r>
    </w:p>
    <w:p>
      <w:pPr>
        <w:pStyle w:val="Heading2"/>
        <w:spacing w:after="120" w:before="240"/>
      </w:pPr>
      <w:r>
        <w:rPr>
          <w:rFonts w:ascii="Arial" w:cs="Arial" w:eastAsia="Arial" w:hAnsi="Arial"/>
          <w:b/>
          <w:bCs/>
          <w:color w:val="2E5FA3"/>
          <w:sz w:val="24"/>
          <w:szCs w:val="24"/>
        </w:rPr>
        <w:t xml:space="preserve">2.3 Augmentation for Financial and Cyber-Security NLP</w:t>
      </w:r>
    </w:p>
    <w:p>
      <w:pPr>
        <w:spacing w:after="160" w:before="60"/>
        <w:jc w:val="both"/>
      </w:pPr>
      <w:r>
        <w:rPr>
          <w:rFonts w:ascii="Arial" w:cs="Arial" w:eastAsia="Arial" w:hAnsi="Arial"/>
          <w:b w:val="false"/>
          <w:bCs w:val="false"/>
          <w:color w:val="000000"/>
          <w:sz w:val="22"/>
          <w:szCs w:val="22"/>
        </w:rPr>
        <w:t xml:space="preserve">The intersection of data augmentation and financial/cybersecurity NLP remains underexplored. Existing work on fraud detection NLP (Phua et al., 2010; Buehler et al., 2020) focuses on classification architectures rather than data preparation strategies. No published work addresses augmentation complexity as a function of fraud-semantic density, named entity criticality, or cybersecurity terminology preservation.</w:t>
      </w:r>
    </w:p>
    <w:p>
      <w:pPr>
        <w:pStyle w:val="Heading2"/>
        <w:spacing w:after="120" w:before="240"/>
      </w:pPr>
      <w:r>
        <w:rPr>
          <w:rFonts w:ascii="Arial" w:cs="Arial" w:eastAsia="Arial" w:hAnsi="Arial"/>
          <w:b/>
          <w:bCs/>
          <w:color w:val="2E5FA3"/>
          <w:sz w:val="24"/>
          <w:szCs w:val="24"/>
        </w:rPr>
        <w:t xml:space="preserve">2.4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00"/>
        <w:gridCol w:w="23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Pre-gen selection</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Domain-aware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penalty</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Entity preservation</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EDA (2019)</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r>
      <w:tr>
        <w:tc>
          <w:tcPr>
            <w:tcW w:type="dxa" w:w="2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SSMBA (2020)</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23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AugMax (2021)</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r>
      <w:tr>
        <w:tc>
          <w:tcPr>
            <w:tcW w:type="dxa" w:w="2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UnSMILE (2021)</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Partial</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23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r>
      <w:tr>
        <w:tc>
          <w:tcPr>
            <w:tcW w:type="dxa" w:w="22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NATURA-CBAS (ours)</w:t>
            </w:r>
          </w:p>
        </w:tc>
        <w:tc>
          <w:tcPr>
            <w:tcW w:type="dxa" w:w="16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w:t>
            </w:r>
          </w:p>
        </w:tc>
        <w:tc>
          <w:tcPr>
            <w:tcW w:type="dxa" w:w="16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w:t>
            </w:r>
          </w:p>
        </w:tc>
        <w:tc>
          <w:tcPr>
            <w:tcW w:type="dxa" w:w="160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w:t>
            </w:r>
          </w:p>
        </w:tc>
        <w:tc>
          <w:tcPr>
            <w:tcW w:type="dxa" w:w="236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 (95%+)</w:t>
            </w:r>
          </w:p>
        </w:tc>
      </w:tr>
    </w:tbl>
    <w:p>
      <w:pPr>
        <w:spacing w:after="160" w:before="60"/>
        <w:jc w:val="both"/>
      </w:pPr>
      <w:r>
        <w:rPr>
          <w:rFonts w:ascii="Arial" w:cs="Arial" w:eastAsia="Arial" w:hAnsi="Arial"/>
          <w:b w:val="false"/>
          <w:bCs w:val="false"/>
          <w:color w:val="000000"/>
          <w:sz w:val="18"/>
          <w:szCs w:val="18"/>
        </w:rPr>
        <w:t xml:space="preserve">Table 1. Gap analysis of augmentation methods. NATURA-CBAS addresses all four dimensions simultaneously.</w:t>
      </w:r>
    </w:p>
    <w:p>
      <w:r>
        <w:br w:type="page"/>
      </w:r>
    </w:p>
    <w:p>
      <w:pPr>
        <w:pStyle w:val="Heading1"/>
        <w:spacing w:after="180" w:before="360"/>
      </w:pPr>
      <w:r>
        <w:rPr>
          <w:rFonts w:ascii="Arial" w:cs="Arial" w:eastAsia="Arial" w:hAnsi="Arial"/>
          <w:b/>
          <w:bCs/>
          <w:color w:val="1F3864"/>
          <w:sz w:val="28"/>
          <w:szCs w:val="28"/>
        </w:rPr>
        <w:t xml:space="preserve">3. PROBLEM FORMULATION</w:t>
      </w:r>
    </w:p>
    <w:p>
      <w:pPr>
        <w:spacing w:after="160" w:before="60"/>
        <w:jc w:val="both"/>
      </w:pPr>
      <w:r>
        <w:rPr>
          <w:rFonts w:ascii="Arial" w:cs="Arial" w:eastAsia="Arial" w:hAnsi="Arial"/>
          <w:b w:val="false"/>
          <w:bCs w:val="false"/>
          <w:color w:val="000000"/>
          <w:sz w:val="22"/>
          <w:szCs w:val="22"/>
        </w:rPr>
        <w:t xml:space="preserve">Let D = {(xᵢ, yᵢ)}ⁿᵢ₌₁ be a low-resource cyber-banking dataset with n labelled instances, where xᵢ is a text sequence (complaint, report, or alert) and yᵢ ∈ Y is its fraud category label. Let M = {m₁, ..., mₖ} be a set of k augmentation methods with associated generation costs C = {c₁, ..., cₖ}.</w:t>
      </w:r>
    </w:p>
    <w:p>
      <w:pPr>
        <w:spacing w:after="160" w:before="60"/>
        <w:jc w:val="both"/>
      </w:pPr>
      <w:r>
        <w:rPr>
          <w:rFonts w:ascii="Arial" w:cs="Arial" w:eastAsia="Arial" w:hAnsi="Arial"/>
          <w:b w:val="false"/>
          <w:bCs w:val="false"/>
          <w:color w:val="000000"/>
          <w:sz w:val="22"/>
          <w:szCs w:val="22"/>
        </w:rPr>
        <w:t xml:space="preserve">The standard augmentation pipeline applies all methods in M to all instances, producing an augmented set D' = D ∪ {ãᵢʲ | aᵢʲ = mʲ(xᵢ), ∀i, j}. This incurs total cost ΣᵢΣʲ cʲ, regardless of utility.</w:t>
      </w:r>
    </w:p>
    <w:p>
      <w:pPr>
        <w:spacing w:after="160" w:before="60"/>
        <w:jc w:val="both"/>
      </w:pPr>
      <w:r>
        <w:rPr>
          <w:rFonts w:ascii="Arial" w:cs="Arial" w:eastAsia="Arial" w:hAnsi="Arial"/>
          <w:b w:val="false"/>
          <w:bCs w:val="false"/>
          <w:color w:val="000000"/>
          <w:sz w:val="22"/>
          <w:szCs w:val="22"/>
        </w:rPr>
        <w:t xml:space="preserve">NATURA-CBAS instead learns a selection function φ: X → 2ᴹ mapping each sentence to a subset of methods. The objective is:</w:t>
      </w:r>
    </w:p>
    <w:p>
      <w:pPr>
        <w:shd w:fill="EBF3FB" w:val="clear"/>
        <w:spacing w:after="120" w:before="120"/>
        <w:jc w:val="center"/>
      </w:pPr>
      <w:r>
        <w:rPr>
          <w:rFonts w:ascii="Courier New" w:cs="Courier New" w:eastAsia="Courier New" w:hAnsi="Courier New"/>
          <w:b/>
          <w:bCs/>
          <w:color w:val="1F3864"/>
          <w:sz w:val="24"/>
          <w:szCs w:val="24"/>
        </w:rPr>
        <w:t xml:space="preserve">maxᵨ  α·U + β·ACIₙ + γ·D − λ·Cost − δ·Risk</w:t>
      </w:r>
    </w:p>
    <w:p>
      <w:pPr>
        <w:spacing w:after="160" w:before="60"/>
        <w:jc w:val="both"/>
      </w:pPr>
      <w:r>
        <w:rPr>
          <w:rFonts w:ascii="Arial" w:cs="Arial" w:eastAsia="Arial" w:hAnsi="Arial"/>
          <w:b w:val="false"/>
          <w:bCs w:val="false"/>
          <w:color w:val="000000"/>
          <w:sz w:val="22"/>
          <w:szCs w:val="22"/>
        </w:rPr>
        <w:t xml:space="preserve">subject to Cost ≤ B (budget constraint), where U is the expected ΔF1 gain, ACIₙ is the augmentation complexity of the sentence, D is distributional diversity, Cost is total generation time plus API cost, Risk is the probability of fraud-entity corruption, and B is the augmentation budget. The coefficients α, β, γ, λ, δ are found via Bayesian optimisation over the validation set.</w:t>
      </w:r>
    </w:p>
    <w:p>
      <w:pPr>
        <w:pStyle w:val="Heading1"/>
        <w:spacing w:after="180" w:before="360"/>
      </w:pPr>
      <w:r>
        <w:rPr>
          <w:rFonts w:ascii="Arial" w:cs="Arial" w:eastAsia="Arial" w:hAnsi="Arial"/>
          <w:b/>
          <w:bCs/>
          <w:color w:val="1F3864"/>
          <w:sz w:val="28"/>
          <w:szCs w:val="28"/>
        </w:rPr>
        <w:t xml:space="preserve">4. AUGMENTATION COMPLEXITY INDEX (ACI)</w:t>
      </w:r>
    </w:p>
    <w:p>
      <w:pPr>
        <w:spacing w:after="160" w:before="60"/>
        <w:jc w:val="both"/>
      </w:pPr>
      <w:r>
        <w:rPr>
          <w:rFonts w:ascii="Arial" w:cs="Arial" w:eastAsia="Arial" w:hAnsi="Arial"/>
          <w:b w:val="false"/>
          <w:bCs w:val="false"/>
          <w:color w:val="000000"/>
          <w:sz w:val="22"/>
          <w:szCs w:val="22"/>
        </w:rPr>
        <w:t xml:space="preserve">The Augmentation Complexity Index is a sentence-level scalar that estimates the difficulty and expected informativeness of augmenting a given cyber-banking text. The key insight is that not all sentences benefit equally from expensive augmentation: a simple request such as 'Check my balance' requires only cheap synonym replacement, while a complex phishing incident report with multiple entities, negations, and rare fraud terminology warrants LLM paraphrase and back translation.</w:t>
      </w:r>
    </w:p>
    <w:p>
      <w:pPr>
        <w:pStyle w:val="Heading2"/>
        <w:spacing w:after="120" w:before="240"/>
      </w:pPr>
      <w:r>
        <w:rPr>
          <w:rFonts w:ascii="Arial" w:cs="Arial" w:eastAsia="Arial" w:hAnsi="Arial"/>
          <w:b/>
          <w:bCs/>
          <w:color w:val="2E5FA3"/>
          <w:sz w:val="24"/>
          <w:szCs w:val="24"/>
        </w:rPr>
        <w:t xml:space="preserve">4.1 ACI Formula</w:t>
      </w:r>
    </w:p>
    <w:p>
      <w:pPr>
        <w:shd w:fill="EBF3FB" w:val="clear"/>
        <w:spacing w:after="120" w:before="120"/>
        <w:jc w:val="center"/>
      </w:pPr>
      <w:r>
        <w:rPr>
          <w:rFonts w:ascii="Courier New" w:cs="Courier New" w:eastAsia="Courier New" w:hAnsi="Courier New"/>
          <w:b/>
          <w:bCs/>
          <w:color w:val="1F3864"/>
          <w:sz w:val="24"/>
          <w:szCs w:val="24"/>
        </w:rPr>
        <w:t xml:space="preserve">ACI = w₁L + w₂F + w₃E + w₄A + w₅R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400"/>
        <w:gridCol w:w="4380"/>
        <w:gridCol w:w="180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Length score</w:t>
            </w:r>
          </w:p>
        </w:tc>
        <w:tc>
          <w:tcPr>
            <w:tcW w:type="dxa" w:w="43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Normalised token count; longer sentences carry more fraud context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w₁ = 0.15</w:t>
            </w:r>
          </w:p>
        </w:tc>
      </w:tr>
      <w:tr>
        <w:tc>
          <w:tcPr>
            <w:tcW w:type="dxa" w:w="78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w:t>
            </w:r>
          </w:p>
        </w:tc>
        <w:tc>
          <w:tcPr>
            <w:tcW w:type="dxa" w:w="24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Fraud keyword density</w:t>
            </w:r>
          </w:p>
        </w:tc>
        <w:tc>
          <w:tcPr>
            <w:tcW w:type="dxa" w:w="438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Proportion of tokens matching a cyber-fraud lexicon (OTP, phishing, unauthorized, UPI, cloning...)</w:t>
            </w:r>
          </w:p>
        </w:tc>
        <w:tc>
          <w:tcPr>
            <w:tcW w:type="dxa" w:w="18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w₂ = 0.30</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Named entity density</w:t>
            </w:r>
          </w:p>
        </w:tc>
        <w:tc>
          <w:tcPr>
            <w:tcW w:type="dxa" w:w="43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Count of cybersecurity NEs (account numbers, card numbers, transaction IDs) per token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w₃ = 0.25</w:t>
            </w:r>
          </w:p>
        </w:tc>
      </w:tr>
      <w:tr>
        <w:tc>
          <w:tcPr>
            <w:tcW w:type="dxa" w:w="78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w:t>
            </w:r>
          </w:p>
        </w:tc>
        <w:tc>
          <w:tcPr>
            <w:tcW w:type="dxa" w:w="24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Semantic ambiguity</w:t>
            </w:r>
          </w:p>
        </w:tc>
        <w:tc>
          <w:tcPr>
            <w:tcW w:type="dxa" w:w="438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Entropy of BERT token probability distribution over [MASK] positions</w:t>
            </w:r>
          </w:p>
        </w:tc>
        <w:tc>
          <w:tcPr>
            <w:tcW w:type="dxa" w:w="18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w₄ = 0.20</w:t>
            </w:r>
          </w:p>
        </w:tc>
      </w:tr>
      <w:tr>
        <w:tc>
          <w:tcPr>
            <w:tcW w:type="dxa" w:w="7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Rare word density</w:t>
            </w:r>
          </w:p>
        </w:tc>
        <w:tc>
          <w:tcPr>
            <w:tcW w:type="dxa" w:w="43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Proportion of tokens with frequency below the 10th percentile of the domain corpus</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w₅ = 0.10</w:t>
            </w:r>
          </w:p>
        </w:tc>
      </w:tr>
    </w:tbl>
    <w:p>
      <w:pPr>
        <w:spacing w:after="160" w:before="60"/>
        <w:jc w:val="both"/>
      </w:pPr>
      <w:r>
        <w:rPr>
          <w:rFonts w:ascii="Arial" w:cs="Arial" w:eastAsia="Arial" w:hAnsi="Arial"/>
          <w:b w:val="false"/>
          <w:bCs w:val="false"/>
          <w:color w:val="000000"/>
          <w:sz w:val="18"/>
          <w:szCs w:val="18"/>
        </w:rPr>
        <w:t xml:space="preserve">Table 2. ACI component definitions and default weights.</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4.2 ACI Interpretation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ACI Range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 Tier</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Strategy</w:t>
            </w:r>
          </w:p>
        </w:tc>
      </w:tr>
      <w:tr>
        <w:tc>
          <w:tcPr>
            <w:tcW w:type="dxa" w:w="1800"/>
            <w:tcBorders>
              <w:top w:val="single" w:color="AAAAAA" w:sz="1"/>
              <w:left w:val="single" w:color="AAAAAA" w:sz="1"/>
              <w:bottom w:val="single" w:color="AAAAAA" w:sz="1"/>
              <w:right w:val="single" w:color="AAAAAA" w:sz="1"/>
            </w:tcBorders>
            <w:shd w:fill="E8F8E8"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 – 0.3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Synonym replacement, word swap only</w:t>
            </w:r>
          </w:p>
        </w:tc>
      </w:tr>
      <w:tr>
        <w:tc>
          <w:tcPr>
            <w:tcW w:type="dxa" w:w="1800"/>
            <w:tcBorders>
              <w:top w:val="single" w:color="AAAAAA" w:sz="1"/>
              <w:left w:val="single" w:color="AAAAAA" w:sz="1"/>
              <w:bottom w:val="single" w:color="AAAAAA" w:sz="1"/>
              <w:right w:val="single" w:color="AAAAAA"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 – 0.7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BERT contextual + back translation</w:t>
            </w:r>
          </w:p>
        </w:tc>
      </w:tr>
      <w:tr>
        <w:tc>
          <w:tcPr>
            <w:tcW w:type="dxa" w:w="1800"/>
            <w:tcBorders>
              <w:top w:val="single" w:color="AAAAAA" w:sz="1"/>
              <w:left w:val="single" w:color="AAAAAA" w:sz="1"/>
              <w:bottom w:val="single" w:color="AAAAAA" w:sz="1"/>
              <w:right w:val="single" w:color="AAAAAA"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 – 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LLM paraphrase + back translation (full stack)</w:t>
            </w:r>
          </w:p>
        </w:tc>
      </w:tr>
    </w:tbl>
    <w:p>
      <w:pPr>
        <w:spacing w:after="160" w:before="60"/>
        <w:jc w:val="both"/>
      </w:pPr>
      <w:r>
        <w:rPr>
          <w:rFonts w:ascii="Arial" w:cs="Arial" w:eastAsia="Arial" w:hAnsi="Arial"/>
          <w:b w:val="false"/>
          <w:bCs w:val="false"/>
          <w:color w:val="000000"/>
          <w:sz w:val="18"/>
          <w:szCs w:val="18"/>
        </w:rPr>
        <w:t xml:space="preserve">Table 3. ACI tiers and default augmentation strategy mapping.</w:t>
      </w:r>
    </w:p>
    <w:p>
      <w:r>
        <w:br w:type="page"/>
      </w:r>
    </w:p>
    <w:p>
      <w:pPr>
        <w:pStyle w:val="Heading1"/>
        <w:spacing w:after="180" w:before="360"/>
      </w:pPr>
      <w:r>
        <w:rPr>
          <w:rFonts w:ascii="Arial" w:cs="Arial" w:eastAsia="Arial" w:hAnsi="Arial"/>
          <w:b/>
          <w:bCs/>
          <w:color w:val="1F3864"/>
          <w:sz w:val="28"/>
          <w:szCs w:val="28"/>
        </w:rPr>
        <w:t xml:space="preserve">5. NATURA-CBAS ARCHITECTURE</w:t>
      </w:r>
    </w:p>
    <w:p>
      <w:pPr>
        <w:spacing w:after="160" w:before="60"/>
        <w:jc w:val="both"/>
      </w:pPr>
      <w:r>
        <w:rPr>
          <w:rFonts w:ascii="Arial" w:cs="Arial" w:eastAsia="Arial" w:hAnsi="Arial"/>
          <w:b w:val="false"/>
          <w:bCs w:val="false"/>
          <w:color w:val="000000"/>
          <w:sz w:val="22"/>
          <w:szCs w:val="22"/>
        </w:rPr>
        <w:t xml:space="preserve">Figure 1 (below) shows the complete pipeline. Each stage is described in detail in the following subsections.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AAAAAA" w:sz="1"/>
              <w:left w:val="single" w:color="AAAAAA" w:sz="1"/>
              <w:bottom w:val="single" w:color="AAAAAA" w:sz="1"/>
              <w:right w:val="single" w:color="AAAAAA"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CYBER-BANKING DATASET</w:t>
            </w:r>
          </w:p>
        </w:tc>
      </w:tr>
      <w:tr>
        <w:tc>
          <w:tcPr>
            <w:tcW w:type="dxa" w:w="7000"/>
            <w:tcBorders>
              <w:top w:val="none" w:color="FFFFFF" w:sz="0"/>
              <w:left w:val="none" w:color="FFFFFF" w:sz="0"/>
              <w:bottom w:val="none" w:color="FFFFFF" w:sz="0"/>
              <w:right w:val="none" w:color="FFFFFF" w:sz="0"/>
            </w:tcBorders>
            <w:tcMar>
              <w:top w:type="dxa" w:w="4"/>
              <w:left w:type="dxa" w:w="200"/>
              <w:bottom w:type="dxa" w:w="4"/>
              <w:right w:type="dxa" w:w="200"/>
            </w:tcMar>
          </w:tcPr>
          <w:p>
            <w:pPr>
              <w:jc w:val="center"/>
            </w:pPr>
            <w:r>
              <w:rPr>
                <w:rFonts w:ascii="Arial" w:cs="Arial" w:eastAsia="Arial" w:hAnsi="Arial"/>
                <w:b/>
                <w:bCs/>
                <w:color w:val="2E5FA3"/>
                <w:sz w:val="22"/>
                <w:szCs w:val="22"/>
              </w:rPr>
              <w:t xml:space="preserve">↓</w:t>
            </w:r>
          </w:p>
        </w:tc>
      </w:tr>
      <w:tr>
        <w:tc>
          <w:tcPr>
            <w:tcW w:type="dxa" w:w="7000"/>
            <w:tcBorders>
              <w:top w:val="single" w:color="AAAAAA" w:sz="1"/>
              <w:left w:val="single" w:color="AAAAAA" w:sz="1"/>
              <w:bottom w:val="single" w:color="AAAAAA" w:sz="1"/>
              <w:right w:val="single" w:color="AAAAAA" w:sz="1"/>
            </w:tcBorders>
            <w:shd w:fill="1E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TEXT PREPROCESSING</w:t>
            </w:r>
          </w:p>
          <w:p>
            <w:pPr>
              <w:jc w:val="center"/>
            </w:pPr>
            <w:r>
              <w:rPr>
                <w:rFonts w:ascii="Arial" w:cs="Arial" w:eastAsia="Arial" w:hAnsi="Arial"/>
                <w:color w:val="BDD7EE"/>
                <w:sz w:val="18"/>
                <w:szCs w:val="18"/>
              </w:rPr>
              <w:t xml:space="preserve">Tokenization  |  Cleaning  |  Entity Detection</w:t>
            </w:r>
          </w:p>
        </w:tc>
      </w:tr>
      <w:tr>
        <w:tc>
          <w:tcPr>
            <w:tcW w:type="dxa" w:w="7000"/>
            <w:tcBorders>
              <w:top w:val="none" w:color="FFFFFF" w:sz="0"/>
              <w:left w:val="none" w:color="FFFFFF" w:sz="0"/>
              <w:bottom w:val="none" w:color="FFFFFF" w:sz="0"/>
              <w:right w:val="none" w:color="FFFFFF" w:sz="0"/>
            </w:tcBorders>
            <w:tcMar>
              <w:top w:type="dxa" w:w="4"/>
              <w:left w:type="dxa" w:w="200"/>
              <w:bottom w:type="dxa" w:w="4"/>
              <w:right w:type="dxa" w:w="200"/>
            </w:tcMar>
          </w:tcPr>
          <w:p>
            <w:pPr>
              <w:jc w:val="center"/>
            </w:pPr>
            <w:r>
              <w:rPr>
                <w:rFonts w:ascii="Arial" w:cs="Arial" w:eastAsia="Arial" w:hAnsi="Arial"/>
                <w:b/>
                <w:bCs/>
                <w:color w:val="2E5FA3"/>
                <w:sz w:val="22"/>
                <w:szCs w:val="22"/>
              </w:rPr>
              <w:t xml:space="preserve">↓</w:t>
            </w:r>
          </w:p>
        </w:tc>
      </w:tr>
      <w:tr>
        <w:tc>
          <w:tcPr>
            <w:tcW w:type="dxa" w:w="7000"/>
            <w:tcBorders>
              <w:top w:val="single" w:color="AAAAAA" w:sz="1"/>
              <w:left w:val="single" w:color="AAAAAA" w:sz="1"/>
              <w:bottom w:val="single" w:color="AAAAAA" w:sz="1"/>
              <w:right w:val="single" w:color="AAAAAA" w:sz="1"/>
            </w:tcBorders>
            <w:shd w:fill="2E5FA3"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FEATURE EXTRACTION + ACI</w:t>
            </w:r>
          </w:p>
          <w:p>
            <w:pPr>
              <w:jc w:val="center"/>
            </w:pPr>
            <w:r>
              <w:rPr>
                <w:rFonts w:ascii="Arial" w:cs="Arial" w:eastAsia="Arial" w:hAnsi="Arial"/>
                <w:color w:val="BDD7EE"/>
                <w:sz w:val="18"/>
                <w:szCs w:val="18"/>
              </w:rPr>
              <w:t xml:space="preserve">Length | Entropy | Fraud Keyword Density | NE Count | BERT [CLS] | ACI Score</w:t>
            </w:r>
          </w:p>
        </w:tc>
      </w:tr>
      <w:tr>
        <w:tc>
          <w:tcPr>
            <w:tcW w:type="dxa" w:w="7000"/>
            <w:tcBorders>
              <w:top w:val="none" w:color="FFFFFF" w:sz="0"/>
              <w:left w:val="none" w:color="FFFFFF" w:sz="0"/>
              <w:bottom w:val="none" w:color="FFFFFF" w:sz="0"/>
              <w:right w:val="none" w:color="FFFFFF" w:sz="0"/>
            </w:tcBorders>
            <w:tcMar>
              <w:top w:type="dxa" w:w="4"/>
              <w:left w:type="dxa" w:w="200"/>
              <w:bottom w:type="dxa" w:w="4"/>
              <w:right w:type="dxa" w:w="200"/>
            </w:tcMar>
          </w:tcPr>
          <w:p>
            <w:pPr>
              <w:jc w:val="center"/>
            </w:pPr>
            <w:r>
              <w:rPr>
                <w:rFonts w:ascii="Arial" w:cs="Arial" w:eastAsia="Arial" w:hAnsi="Arial"/>
                <w:b/>
                <w:bCs/>
                <w:color w:val="2E5FA3"/>
                <w:sz w:val="22"/>
                <w:szCs w:val="22"/>
              </w:rPr>
              <w:t xml:space="preserve">↓</w:t>
            </w:r>
          </w:p>
        </w:tc>
      </w:tr>
      <w:tr>
        <w:tc>
          <w:tcPr>
            <w:tcW w:type="dxa" w:w="7000"/>
            <w:tcBorders>
              <w:top w:val="single" w:color="AAAAAA" w:sz="1"/>
              <w:left w:val="single" w:color="AAAAAA" w:sz="1"/>
              <w:bottom w:val="single" w:color="AAAAAA" w:sz="1"/>
              <w:right w:val="single" w:color="AAAAAA" w:sz="1"/>
            </w:tcBorders>
            <w:shd w:fill="17375E"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DUAL-PATHWAY UTILITY PREDICTOR</w:t>
            </w:r>
          </w:p>
          <w:p>
            <w:pPr>
              <w:jc w:val="center"/>
            </w:pPr>
            <w:r>
              <w:rPr>
                <w:rFonts w:ascii="Arial" w:cs="Arial" w:eastAsia="Arial" w:hAnsi="Arial"/>
                <w:color w:val="BDD7EE"/>
                <w:sz w:val="18"/>
                <w:szCs w:val="18"/>
              </w:rPr>
              <w:t xml:space="preserve">Hand-crafted MLP  ⊕  BERT [CLS] MLP  →  Fused AUS + Risk per method</w:t>
            </w:r>
          </w:p>
        </w:tc>
      </w:tr>
      <w:tr>
        <w:tc>
          <w:tcPr>
            <w:tcW w:type="dxa" w:w="7000"/>
            <w:tcBorders>
              <w:top w:val="none" w:color="FFFFFF" w:sz="0"/>
              <w:left w:val="none" w:color="FFFFFF" w:sz="0"/>
              <w:bottom w:val="none" w:color="FFFFFF" w:sz="0"/>
              <w:right w:val="none" w:color="FFFFFF" w:sz="0"/>
            </w:tcBorders>
            <w:tcMar>
              <w:top w:type="dxa" w:w="4"/>
              <w:left w:type="dxa" w:w="200"/>
              <w:bottom w:type="dxa" w:w="4"/>
              <w:right w:type="dxa" w:w="200"/>
            </w:tcMar>
          </w:tcPr>
          <w:p>
            <w:pPr>
              <w:jc w:val="center"/>
            </w:pPr>
            <w:r>
              <w:rPr>
                <w:rFonts w:ascii="Arial" w:cs="Arial" w:eastAsia="Arial" w:hAnsi="Arial"/>
                <w:b/>
                <w:bCs/>
                <w:color w:val="2E5FA3"/>
                <w:sz w:val="22"/>
                <w:szCs w:val="22"/>
              </w:rPr>
              <w:t xml:space="preserve">↓</w:t>
            </w:r>
          </w:p>
        </w:tc>
      </w:tr>
      <w:tr>
        <w:tc>
          <w:tcPr>
            <w:tcW w:type="dxa" w:w="7000"/>
            <w:tcBorders>
              <w:top w:val="single" w:color="AAAAAA" w:sz="1"/>
              <w:left w:val="single" w:color="AAAAAA" w:sz="1"/>
              <w:bottom w:val="single" w:color="AAAAAA" w:sz="1"/>
              <w:right w:val="single" w:color="AAAAAA" w:sz="1"/>
            </w:tcBorders>
            <w:shd w:fill="375623"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HYBRID GA + GWO OPTIMIZER</w:t>
            </w:r>
          </w:p>
          <w:p>
            <w:pPr>
              <w:jc w:val="center"/>
            </w:pPr>
            <w:r>
              <w:rPr>
                <w:rFonts w:ascii="Arial" w:cs="Arial" w:eastAsia="Arial" w:hAnsi="Arial"/>
                <w:color w:val="C6EFCE"/>
                <w:sz w:val="18"/>
                <w:szCs w:val="18"/>
              </w:rPr>
              <w:t xml:space="preserve">Chromosome: [Syn, Swap, Insert, BT, BERT, LLM]  |  GWO α/β/δ guidance  |  Scheduled p(e)</w:t>
            </w:r>
          </w:p>
        </w:tc>
      </w:tr>
      <w:tr>
        <w:tc>
          <w:tcPr>
            <w:tcW w:type="dxa" w:w="7000"/>
            <w:tcBorders>
              <w:top w:val="none" w:color="FFFFFF" w:sz="0"/>
              <w:left w:val="none" w:color="FFFFFF" w:sz="0"/>
              <w:bottom w:val="none" w:color="FFFFFF" w:sz="0"/>
              <w:right w:val="none" w:color="FFFFFF" w:sz="0"/>
            </w:tcBorders>
            <w:tcMar>
              <w:top w:type="dxa" w:w="4"/>
              <w:left w:type="dxa" w:w="200"/>
              <w:bottom w:type="dxa" w:w="4"/>
              <w:right w:type="dxa" w:w="200"/>
            </w:tcMar>
          </w:tcPr>
          <w:p>
            <w:pPr>
              <w:jc w:val="center"/>
            </w:pPr>
            <w:r>
              <w:rPr>
                <w:rFonts w:ascii="Arial" w:cs="Arial" w:eastAsia="Arial" w:hAnsi="Arial"/>
                <w:b/>
                <w:bCs/>
                <w:color w:val="2E5FA3"/>
                <w:sz w:val="22"/>
                <w:szCs w:val="22"/>
              </w:rPr>
              <w:t xml:space="preserve">↓</w:t>
            </w:r>
          </w:p>
        </w:tc>
      </w:tr>
      <w:tr>
        <w:tc>
          <w:tcPr>
            <w:tcW w:type="dxa" w:w="7000"/>
            <w:tcBorders>
              <w:top w:val="single" w:color="AAAAAA" w:sz="1"/>
              <w:left w:val="single" w:color="AAAAAA" w:sz="1"/>
              <w:bottom w:val="single" w:color="AAAAAA" w:sz="1"/>
              <w:right w:val="single" w:color="AAAAAA" w:sz="1"/>
            </w:tcBorders>
            <w:shd w:fill="7B3F0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AUGMENTATION GENERATOR</w:t>
            </w:r>
          </w:p>
          <w:p>
            <w:pPr>
              <w:jc w:val="center"/>
            </w:pPr>
            <w:r>
              <w:rPr>
                <w:rFonts w:ascii="Arial" w:cs="Arial" w:eastAsia="Arial" w:hAnsi="Arial"/>
                <w:color w:val="FFE0B2"/>
                <w:sz w:val="18"/>
                <w:szCs w:val="18"/>
              </w:rPr>
              <w:t xml:space="preserve">Generates ONLY selected methods  —  Back Translation | LLM Paraphrase | BERT Contextual | Synonym</w:t>
            </w:r>
          </w:p>
        </w:tc>
      </w:tr>
      <w:tr>
        <w:tc>
          <w:tcPr>
            <w:tcW w:type="dxa" w:w="7000"/>
            <w:tcBorders>
              <w:top w:val="none" w:color="FFFFFF" w:sz="0"/>
              <w:left w:val="none" w:color="FFFFFF" w:sz="0"/>
              <w:bottom w:val="none" w:color="FFFFFF" w:sz="0"/>
              <w:right w:val="none" w:color="FFFFFF" w:sz="0"/>
            </w:tcBorders>
            <w:tcMar>
              <w:top w:type="dxa" w:w="4"/>
              <w:left w:type="dxa" w:w="200"/>
              <w:bottom w:type="dxa" w:w="4"/>
              <w:right w:type="dxa" w:w="200"/>
            </w:tcMar>
          </w:tcPr>
          <w:p>
            <w:pPr>
              <w:jc w:val="center"/>
            </w:pPr>
            <w:r>
              <w:rPr>
                <w:rFonts w:ascii="Arial" w:cs="Arial" w:eastAsia="Arial" w:hAnsi="Arial"/>
                <w:b/>
                <w:bCs/>
                <w:color w:val="2E5FA3"/>
                <w:sz w:val="22"/>
                <w:szCs w:val="22"/>
              </w:rPr>
              <w:t xml:space="preserve">↓</w:t>
            </w:r>
          </w:p>
        </w:tc>
      </w:tr>
      <w:tr>
        <w:tc>
          <w:tcPr>
            <w:tcW w:type="dxa" w:w="7000"/>
            <w:tcBorders>
              <w:top w:val="single" w:color="AAAAAA" w:sz="1"/>
              <w:left w:val="single" w:color="AAAAAA" w:sz="1"/>
              <w:bottom w:val="single" w:color="AAAAAA" w:sz="1"/>
              <w:right w:val="single" w:color="AAAAAA" w:sz="1"/>
            </w:tcBorders>
            <w:shd w:fill="7B000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SECURITY VALIDATOR</w:t>
            </w:r>
          </w:p>
          <w:p>
            <w:pPr>
              <w:jc w:val="center"/>
            </w:pPr>
            <w:r>
              <w:rPr>
                <w:rFonts w:ascii="Arial" w:cs="Arial" w:eastAsia="Arial" w:hAnsi="Arial"/>
                <w:color w:val="FFCDD2"/>
                <w:sz w:val="18"/>
                <w:szCs w:val="18"/>
              </w:rPr>
              <w:t xml:space="preserve">Entity Preservation  |  Fraud Term Check  |  NLI Label Consistency  |  Diversity Filter</w:t>
            </w:r>
          </w:p>
        </w:tc>
      </w:tr>
      <w:tr>
        <w:tc>
          <w:tcPr>
            <w:tcW w:type="dxa" w:w="7000"/>
            <w:tcBorders>
              <w:top w:val="none" w:color="FFFFFF" w:sz="0"/>
              <w:left w:val="none" w:color="FFFFFF" w:sz="0"/>
              <w:bottom w:val="none" w:color="FFFFFF" w:sz="0"/>
              <w:right w:val="none" w:color="FFFFFF" w:sz="0"/>
            </w:tcBorders>
            <w:tcMar>
              <w:top w:type="dxa" w:w="4"/>
              <w:left w:type="dxa" w:w="200"/>
              <w:bottom w:type="dxa" w:w="4"/>
              <w:right w:type="dxa" w:w="200"/>
            </w:tcMar>
          </w:tcPr>
          <w:p>
            <w:pPr>
              <w:jc w:val="center"/>
            </w:pPr>
            <w:r>
              <w:rPr>
                <w:rFonts w:ascii="Arial" w:cs="Arial" w:eastAsia="Arial" w:hAnsi="Arial"/>
                <w:b/>
                <w:bCs/>
                <w:color w:val="2E5FA3"/>
                <w:sz w:val="22"/>
                <w:szCs w:val="22"/>
              </w:rPr>
              <w:t xml:space="preserve">↓</w:t>
            </w:r>
          </w:p>
        </w:tc>
      </w:tr>
      <w:tr>
        <w:tc>
          <w:tcPr>
            <w:tcW w:type="dxa" w:w="7000"/>
            <w:tcBorders>
              <w:top w:val="single" w:color="AAAAAA" w:sz="1"/>
              <w:left w:val="single" w:color="AAAAAA" w:sz="1"/>
              <w:bottom w:val="single" w:color="AAAAAA" w:sz="1"/>
              <w:right w:val="single" w:color="AAAAAA" w:sz="1"/>
            </w:tcBorders>
            <w:shd w:fill="1F3864"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FRAUD CLASSIFIER (BERT / RoBERTa)</w:t>
            </w:r>
          </w:p>
          <w:p>
            <w:pPr>
              <w:jc w:val="center"/>
            </w:pPr>
            <w:r>
              <w:rPr>
                <w:rFonts w:ascii="Arial" w:cs="Arial" w:eastAsia="Arial" w:hAnsi="Arial"/>
                <w:color w:val="BDD7EE"/>
                <w:sz w:val="18"/>
                <w:szCs w:val="18"/>
              </w:rPr>
              <w:t xml:space="preserve">ΔF1 Feedback Loop  →  Utility Predictor Update  →  Next Epoch</w:t>
            </w:r>
          </w:p>
        </w:tc>
      </w:tr>
    </w:tbl>
    <w:p>
      <w:pPr>
        <w:spacing w:after="160" w:before="60"/>
        <w:jc w:val="center"/>
      </w:pPr>
      <w:r>
        <w:rPr>
          <w:rFonts w:ascii="Arial" w:cs="Arial" w:eastAsia="Arial" w:hAnsi="Arial"/>
          <w:b w:val="false"/>
          <w:bCs w:val="false"/>
          <w:color w:val="000000"/>
          <w:sz w:val="18"/>
          <w:szCs w:val="18"/>
        </w:rPr>
        <w:t xml:space="preserve">Figure 1. NATURA-CBAS full pipeline. Selection occurs before generation, not after.</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5.1 Text Preprocessing</w:t>
      </w:r>
    </w:p>
    <w:p>
      <w:pPr>
        <w:spacing w:after="160" w:before="60"/>
        <w:jc w:val="both"/>
      </w:pPr>
      <w:r>
        <w:rPr>
          <w:rFonts w:ascii="Arial" w:cs="Arial" w:eastAsia="Arial" w:hAnsi="Arial"/>
          <w:b w:val="false"/>
          <w:bCs w:val="false"/>
          <w:color w:val="000000"/>
          <w:sz w:val="22"/>
          <w:szCs w:val="22"/>
        </w:rPr>
        <w:t xml:space="preserve">Input text undergoes standard tokenisation (WordPiece, 512 token limit), lowercasing, and removal of personal identifiers per regulatory requirements. A domain-specific Named Entity Recognition (NER) model fine-tuned on financial text identifies cybersecurity entities: OTP, UPI IDs, account numbers, card numbers, transaction references, and phishing URLs. These entities are tagged with preservation flags and passed to the Security Validator downstream.</w:t>
      </w:r>
    </w:p>
    <w:p>
      <w:pPr>
        <w:pStyle w:val="Heading2"/>
        <w:spacing w:after="120" w:before="240"/>
      </w:pPr>
      <w:r>
        <w:rPr>
          <w:rFonts w:ascii="Arial" w:cs="Arial" w:eastAsia="Arial" w:hAnsi="Arial"/>
          <w:b/>
          <w:bCs/>
          <w:color w:val="2E5FA3"/>
          <w:sz w:val="24"/>
          <w:szCs w:val="24"/>
        </w:rPr>
        <w:t xml:space="preserve">5.2 Feature Extraction</w:t>
      </w:r>
    </w:p>
    <w:p>
      <w:pPr>
        <w:spacing w:after="160" w:before="60"/>
        <w:jc w:val="both"/>
      </w:pPr>
      <w:r>
        <w:rPr>
          <w:rFonts w:ascii="Arial" w:cs="Arial" w:eastAsia="Arial" w:hAnsi="Arial"/>
          <w:b w:val="false"/>
          <w:bCs w:val="false"/>
          <w:color w:val="000000"/>
          <w:sz w:val="22"/>
          <w:szCs w:val="22"/>
        </w:rPr>
        <w:t xml:space="preserve">Eleven features are extracted per sentence and organised into two groups. Hand-crafted features (10): sentence length, lexical entropy, fraud keyword density, named entity density, BERT embedding variance, parse tree depth, named entity count, negation flag, average token frequency, and nearest-neighbour distance in BERT embedding space. Learned feature (1): the BERT [CLS] vector projected to 128 dimensions. The ACI score is computed from the first five hand-crafted features as described in Section 4.</w:t>
      </w:r>
    </w:p>
    <w:p>
      <w:pPr>
        <w:pStyle w:val="Heading2"/>
        <w:spacing w:after="120" w:before="240"/>
      </w:pPr>
      <w:r>
        <w:rPr>
          <w:rFonts w:ascii="Arial" w:cs="Arial" w:eastAsia="Arial" w:hAnsi="Arial"/>
          <w:b/>
          <w:bCs/>
          <w:color w:val="2E5FA3"/>
          <w:sz w:val="24"/>
          <w:szCs w:val="24"/>
        </w:rPr>
        <w:t xml:space="preserve">5.3 Dual-Pathway Utility Predictor</w:t>
      </w:r>
    </w:p>
    <w:p>
      <w:pPr>
        <w:spacing w:after="160" w:before="60"/>
        <w:jc w:val="both"/>
      </w:pPr>
      <w:r>
        <w:rPr>
          <w:rFonts w:ascii="Arial" w:cs="Arial" w:eastAsia="Arial" w:hAnsi="Arial"/>
          <w:b w:val="false"/>
          <w:bCs w:val="false"/>
          <w:color w:val="000000"/>
          <w:sz w:val="22"/>
          <w:szCs w:val="22"/>
        </w:rPr>
        <w:t xml:space="preserve">The utility predictor outputs an Augmentation Utility Score (AUS) and a Risk score for each candidate augmentation method. It uses two parallel input pathways fused via a learned gating mechanism:</w:t>
      </w:r>
    </w:p>
    <w:p>
      <w:pPr>
        <w:pStyle w:val="ListParagraph"/>
        <w:numPr>
          <w:ilvl w:val="0"/>
          <w:numId w:val="2"/>
        </w:numPr>
        <w:spacing w:after="40" w:before="40"/>
      </w:pPr>
      <w:r>
        <w:rPr>
          <w:rFonts w:ascii="Arial" w:cs="Arial" w:eastAsia="Arial" w:hAnsi="Arial"/>
          <w:sz w:val="20"/>
          <w:szCs w:val="20"/>
        </w:rPr>
        <w:t xml:space="preserve">Pathway A: 10 hand-crafted features → 3-layer MLP → gain vector ∈ ℝ⁶</w:t>
      </w:r>
    </w:p>
    <w:p>
      <w:pPr>
        <w:pStyle w:val="ListParagraph"/>
        <w:numPr>
          <w:ilvl w:val="0"/>
          <w:numId w:val="2"/>
        </w:numPr>
        <w:spacing w:after="40" w:before="40"/>
      </w:pPr>
      <w:r>
        <w:rPr>
          <w:rFonts w:ascii="Arial" w:cs="Arial" w:eastAsia="Arial" w:hAnsi="Arial"/>
          <w:sz w:val="20"/>
          <w:szCs w:val="20"/>
        </w:rPr>
        <w:t xml:space="preserve">Pathway B: BERT [CLS] 128-dim projection → 2-layer MLP → gain vector ∈ ℝ⁶</w:t>
      </w:r>
    </w:p>
    <w:p>
      <w:pPr>
        <w:pStyle w:val="ListParagraph"/>
        <w:numPr>
          <w:ilvl w:val="0"/>
          <w:numId w:val="2"/>
        </w:numPr>
        <w:spacing w:after="40" w:before="40"/>
      </w:pPr>
      <w:r>
        <w:rPr>
          <w:rFonts w:ascii="Arial" w:cs="Arial" w:eastAsia="Arial" w:hAnsi="Arial"/>
          <w:sz w:val="20"/>
          <w:szCs w:val="20"/>
        </w:rPr>
        <w:t xml:space="preserve">Fusion: ĝ = σ(w) ⊙ gain_A + (1−σ(w)) ⊙ gain_B, where w is a learned 6-dim gating vector</w:t>
      </w:r>
    </w:p>
    <w:p>
      <w:pPr>
        <w:spacing w:after="0" w:before="80"/>
      </w:pPr>
      <w:r>
        <w:t xml:space="preserve"/>
      </w:r>
    </w:p>
    <w:p>
      <w:pPr>
        <w:spacing w:after="160" w:before="60"/>
        <w:jc w:val="both"/>
      </w:pPr>
      <w:r>
        <w:rPr>
          <w:rFonts w:ascii="Arial" w:cs="Arial" w:eastAsia="Arial" w:hAnsi="Arial"/>
          <w:b w:val="false"/>
          <w:bCs w:val="false"/>
          <w:color w:val="000000"/>
          <w:sz w:val="22"/>
          <w:szCs w:val="22"/>
        </w:rPr>
        <w:t xml:space="preserve">The predictor is warm-started using MAML-style meta-learning over five source NLP datasets (SST-2, TREC-6, AG News, IMDB, CoNLL-2003) to eliminate cold-start degradation in the first training epoch.</w:t>
      </w:r>
    </w:p>
    <w:p>
      <w:pPr>
        <w:spacing w:after="160" w:before="60"/>
        <w:jc w:val="both"/>
      </w:pPr>
      <w:r>
        <w:rPr>
          <w:rFonts w:ascii="Arial" w:cs="Arial" w:eastAsia="Arial" w:hAnsi="Arial"/>
          <w:b w:val="false"/>
          <w:bCs w:val="false"/>
          <w:color w:val="000000"/>
          <w:sz w:val="22"/>
          <w:szCs w:val="22"/>
        </w:rPr>
        <w:t xml:space="preserve">AUS is defined as:</w:t>
      </w:r>
    </w:p>
    <w:p>
      <w:pPr>
        <w:shd w:fill="EBF3FB" w:val="clear"/>
        <w:spacing w:after="100" w:before="100"/>
        <w:jc w:val="center"/>
      </w:pPr>
      <w:r>
        <w:rPr>
          <w:rFonts w:ascii="Courier New" w:cs="Courier New" w:eastAsia="Courier New" w:hAnsi="Courier New"/>
          <w:b/>
          <w:bCs/>
          <w:color w:val="1F3864"/>
          <w:sz w:val="22"/>
          <w:szCs w:val="22"/>
        </w:rPr>
        <w:t xml:space="preserve">AUS = ΔF1 / (Generation Time + API Costₙₒʳₘ + Evaluation Time)</w:t>
      </w:r>
    </w:p>
    <w:p>
      <w:pPr>
        <w:pStyle w:val="Heading2"/>
        <w:spacing w:after="120" w:before="240"/>
      </w:pPr>
      <w:r>
        <w:rPr>
          <w:rFonts w:ascii="Arial" w:cs="Arial" w:eastAsia="Arial" w:hAnsi="Arial"/>
          <w:b/>
          <w:bCs/>
          <w:color w:val="2E5FA3"/>
          <w:sz w:val="24"/>
          <w:szCs w:val="24"/>
        </w:rPr>
        <w:t xml:space="preserve">5.4 Security Validator</w:t>
      </w:r>
    </w:p>
    <w:p>
      <w:pPr>
        <w:spacing w:after="160" w:before="60"/>
        <w:jc w:val="both"/>
      </w:pPr>
      <w:r>
        <w:rPr>
          <w:rFonts w:ascii="Arial" w:cs="Arial" w:eastAsia="Arial" w:hAnsi="Arial"/>
          <w:b w:val="false"/>
          <w:bCs w:val="false"/>
          <w:color w:val="000000"/>
          <w:sz w:val="22"/>
          <w:szCs w:val="22"/>
        </w:rPr>
        <w:t xml:space="preserve">Each generated sample passes three validation checks before entering the training set:</w:t>
      </w:r>
    </w:p>
    <w:p>
      <w:pPr>
        <w:pStyle w:val="ListParagraph"/>
        <w:numPr>
          <w:ilvl w:val="0"/>
          <w:numId w:val="2"/>
        </w:numPr>
        <w:spacing w:after="40" w:before="40"/>
      </w:pPr>
      <w:r>
        <w:rPr>
          <w:rFonts w:ascii="Arial" w:cs="Arial" w:eastAsia="Arial" w:hAnsi="Arial"/>
          <w:sz w:val="20"/>
          <w:szCs w:val="20"/>
        </w:rPr>
        <w:t xml:space="preserve">Entity preservation: all NE-tagged tokens from the original sentence must appear unchanged in the augmented text</w:t>
      </w:r>
    </w:p>
    <w:p>
      <w:pPr>
        <w:pStyle w:val="ListParagraph"/>
        <w:numPr>
          <w:ilvl w:val="0"/>
          <w:numId w:val="2"/>
        </w:numPr>
        <w:spacing w:after="40" w:before="40"/>
      </w:pPr>
      <w:r>
        <w:rPr>
          <w:rFonts w:ascii="Arial" w:cs="Arial" w:eastAsia="Arial" w:hAnsi="Arial"/>
          <w:sz w:val="20"/>
          <w:szCs w:val="20"/>
        </w:rPr>
        <w:t xml:space="preserve">Fraud term preservation: domain-critical terms (OTP, UPI, phishing, cloning) must be present</w:t>
      </w:r>
    </w:p>
    <w:p>
      <w:pPr>
        <w:pStyle w:val="ListParagraph"/>
        <w:numPr>
          <w:ilvl w:val="0"/>
          <w:numId w:val="2"/>
        </w:numPr>
        <w:spacing w:after="40" w:before="40"/>
      </w:pPr>
      <w:r>
        <w:rPr>
          <w:rFonts w:ascii="Arial" w:cs="Arial" w:eastAsia="Arial" w:hAnsi="Arial"/>
          <w:sz w:val="20"/>
          <w:szCs w:val="20"/>
        </w:rPr>
        <w:t xml:space="preserve">NLI label consistency: BERT NLI score between original and augmented sentence must exceed 0.70</w:t>
      </w:r>
    </w:p>
    <w:p>
      <w:pPr>
        <w:pStyle w:val="ListParagraph"/>
        <w:numPr>
          <w:ilvl w:val="0"/>
          <w:numId w:val="2"/>
        </w:numPr>
        <w:spacing w:after="40" w:before="40"/>
      </w:pPr>
      <w:r>
        <w:rPr>
          <w:rFonts w:ascii="Arial" w:cs="Arial" w:eastAsia="Arial" w:hAnsi="Arial"/>
          <w:sz w:val="20"/>
          <w:szCs w:val="20"/>
        </w:rPr>
        <w:t xml:space="preserve">Diversity filter: cosine distance from all existing training samples must exceed δ = 0.15</w:t>
      </w:r>
    </w:p>
    <w:p>
      <w:pPr>
        <w:spacing w:after="0" w:before="80"/>
      </w:pPr>
      <w:r>
        <w:t xml:space="preserve"/>
      </w:r>
    </w:p>
    <w:p>
      <w:pPr>
        <w:spacing w:after="160" w:before="60"/>
        <w:jc w:val="both"/>
      </w:pPr>
      <w:r>
        <w:rPr>
          <w:rFonts w:ascii="Arial" w:cs="Arial" w:eastAsia="Arial" w:hAnsi="Arial"/>
          <w:b w:val="false"/>
          <w:bCs w:val="false"/>
          <w:color w:val="000000"/>
          <w:sz w:val="22"/>
          <w:szCs w:val="22"/>
        </w:rPr>
        <w:t xml:space="preserve">Samples failing any check trigger an LLM retry (up to 2 retries for paraphrase), then are discarded. The expected rejection rate is approximately 10–15% of LLM-generated samples.</w:t>
      </w:r>
    </w:p>
    <w:p>
      <w:r>
        <w:br w:type="page"/>
      </w:r>
    </w:p>
    <w:p>
      <w:pPr>
        <w:pStyle w:val="Heading1"/>
        <w:spacing w:after="180" w:before="360"/>
      </w:pPr>
      <w:r>
        <w:rPr>
          <w:rFonts w:ascii="Arial" w:cs="Arial" w:eastAsia="Arial" w:hAnsi="Arial"/>
          <w:b/>
          <w:bCs/>
          <w:color w:val="1F3864"/>
          <w:sz w:val="28"/>
          <w:szCs w:val="28"/>
        </w:rPr>
        <w:t xml:space="preserve">6. HYBRID GENETIC ALGORITHM + GWO OPTIMIZER</w:t>
      </w:r>
    </w:p>
    <w:p>
      <w:pPr>
        <w:pStyle w:val="Heading2"/>
        <w:spacing w:after="120" w:before="240"/>
      </w:pPr>
      <w:r>
        <w:rPr>
          <w:rFonts w:ascii="Arial" w:cs="Arial" w:eastAsia="Arial" w:hAnsi="Arial"/>
          <w:b/>
          <w:bCs/>
          <w:color w:val="2E5FA3"/>
          <w:sz w:val="24"/>
          <w:szCs w:val="24"/>
        </w:rPr>
        <w:t xml:space="preserve">6.1 Chromosome Representation (GA)</w:t>
      </w:r>
    </w:p>
    <w:p>
      <w:pPr>
        <w:spacing w:after="160" w:before="60"/>
        <w:jc w:val="both"/>
      </w:pPr>
      <w:r>
        <w:rPr>
          <w:rFonts w:ascii="Arial" w:cs="Arial" w:eastAsia="Arial" w:hAnsi="Arial"/>
          <w:b w:val="false"/>
          <w:bCs w:val="false"/>
          <w:color w:val="000000"/>
          <w:sz w:val="22"/>
          <w:szCs w:val="22"/>
        </w:rPr>
        <w:t xml:space="preserve">Each chromosome encodes a binary augmentation selection policy for a given sentence:</w:t>
      </w:r>
    </w:p>
    <w:p>
      <w:pPr>
        <w:shd w:fill="EBF3FB" w:val="clear"/>
        <w:spacing w:after="100" w:before="100"/>
        <w:jc w:val="center"/>
      </w:pPr>
      <w:r>
        <w:rPr>
          <w:rFonts w:ascii="Courier New" w:cs="Courier New" w:eastAsia="Courier New" w:hAnsi="Courier New"/>
          <w:b/>
          <w:bCs/>
          <w:color w:val="1F3864"/>
          <w:sz w:val="20"/>
          <w:szCs w:val="20"/>
        </w:rPr>
        <w:t xml:space="preserve">chromosome = [Synonym, Swap, Insert, BackTranslation, BERT_CTX, LLM_Para]  ∈  {0,1}⁶</w:t>
      </w:r>
    </w:p>
    <w:p>
      <w:pPr>
        <w:spacing w:after="160" w:before="60"/>
        <w:jc w:val="both"/>
      </w:pPr>
      <w:r>
        <w:rPr>
          <w:rFonts w:ascii="Arial" w:cs="Arial" w:eastAsia="Arial" w:hAnsi="Arial"/>
          <w:b w:val="false"/>
          <w:bCs w:val="false"/>
          <w:color w:val="000000"/>
          <w:sz w:val="22"/>
          <w:szCs w:val="22"/>
        </w:rPr>
        <w:t xml:space="preserve">A gene value of 1 means the corresponding method is selected for generation; 0 means it is skipped. The chromosome is evaluated by computing the fitness function in Section 3 after the utility predictor supplies predicted AUS and Risk scores for each active gene.</w:t>
      </w:r>
    </w:p>
    <w:p>
      <w:pPr>
        <w:pStyle w:val="Heading2"/>
        <w:spacing w:after="120" w:before="240"/>
      </w:pPr>
      <w:r>
        <w:rPr>
          <w:rFonts w:ascii="Arial" w:cs="Arial" w:eastAsia="Arial" w:hAnsi="Arial"/>
          <w:b/>
          <w:bCs/>
          <w:color w:val="2E5FA3"/>
          <w:sz w:val="24"/>
          <w:szCs w:val="24"/>
        </w:rPr>
        <w:t xml:space="preserve">6.2 Genetic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augmentation selection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Selection</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Tournament selection (k=3); top-fitness chromosomes are retained</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Preserves high-AUS method combinations across epochs</w:t>
            </w:r>
          </w:p>
        </w:tc>
      </w:tr>
      <w:tr>
        <w:tc>
          <w:tcPr>
            <w:tcW w:type="dxa" w:w="20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Crossover</w:t>
            </w:r>
          </w:p>
        </w:tc>
        <w:tc>
          <w:tcPr>
            <w:tcW w:type="dxa" w:w="35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Single-point crossover at position 3 (splits cheap/expensive methods)</w:t>
            </w:r>
          </w:p>
        </w:tc>
        <w:tc>
          <w:tcPr>
            <w:tcW w:type="dxa" w:w="38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Recombines successful low-cost and high-cost strategies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Mutation</w:t>
            </w:r>
          </w:p>
        </w:tc>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Bit-flip with probability p_m = 0.05 per gene</w:t>
            </w:r>
          </w:p>
        </w:tc>
        <w:tc>
          <w:tcPr>
            <w:tcW w:type="dxa" w:w="3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Introduces exploration of untried method combinations</w:t>
            </w:r>
          </w:p>
        </w:tc>
      </w:tr>
      <w:tr>
        <w:tc>
          <w:tcPr>
            <w:tcW w:type="dxa" w:w="20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Elitism</w:t>
            </w:r>
          </w:p>
        </w:tc>
        <w:tc>
          <w:tcPr>
            <w:tcW w:type="dxa" w:w="35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 10% of population is copied unchanged to next generation</w:t>
            </w:r>
          </w:p>
        </w:tc>
        <w:tc>
          <w:tcPr>
            <w:tcW w:type="dxa" w:w="38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Prevents loss of best-known strategies</w:t>
            </w:r>
          </w:p>
        </w:tc>
      </w:tr>
    </w:tbl>
    <w:p>
      <w:pPr>
        <w:spacing w:after="160" w:before="60"/>
        <w:jc w:val="both"/>
      </w:pPr>
      <w:r>
        <w:rPr>
          <w:rFonts w:ascii="Arial" w:cs="Arial" w:eastAsia="Arial" w:hAnsi="Arial"/>
          <w:b w:val="false"/>
          <w:bCs w:val="false"/>
          <w:color w:val="000000"/>
          <w:sz w:val="18"/>
          <w:szCs w:val="18"/>
        </w:rPr>
        <w:t xml:space="preserve">Table 4. Genetic operations and their roles.</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6.3 GWO Guidance Layer</w:t>
      </w:r>
    </w:p>
    <w:p>
      <w:pPr>
        <w:spacing w:after="160" w:before="60"/>
        <w:jc w:val="both"/>
      </w:pPr>
      <w:r>
        <w:rPr>
          <w:rFonts w:ascii="Arial" w:cs="Arial" w:eastAsia="Arial" w:hAnsi="Arial"/>
          <w:b w:val="false"/>
          <w:bCs w:val="false"/>
          <w:color w:val="000000"/>
          <w:sz w:val="22"/>
          <w:szCs w:val="22"/>
        </w:rPr>
        <w:t xml:space="preserve">The GA evolves discrete chromosomes. The Grey Wolf Optimizer (GWO) operates in a continuous relaxation of the same space, where each gene takes a value in [0, 1]. GWO guides the GA population toward the global optimum by providing a direction signal based on the α, β, and δ wolves (best, second-best, and third-best solutions found so far):</w:t>
      </w:r>
    </w:p>
    <w:p>
      <w:pPr>
        <w:shd w:fill="EBF3FB" w:val="clear"/>
        <w:spacing w:after="100" w:before="100"/>
        <w:jc w:val="center"/>
      </w:pPr>
      <w:r>
        <w:rPr>
          <w:rFonts w:ascii="Courier New" w:cs="Courier New" w:eastAsia="Courier New" w:hAnsi="Courier New"/>
          <w:color w:val="1F3864"/>
          <w:sz w:val="20"/>
          <w:szCs w:val="20"/>
        </w:rPr>
        <w:t xml:space="preserve">X(t+1) = (X₁ + X₂ + X₃) / 3  where X₁, X₂, X₃ from α, β, δ wolves</w:t>
      </w:r>
    </w:p>
    <w:p>
      <w:pPr>
        <w:spacing w:after="160" w:before="60"/>
        <w:jc w:val="both"/>
      </w:pPr>
      <w:r>
        <w:rPr>
          <w:rFonts w:ascii="Arial" w:cs="Arial" w:eastAsia="Arial" w:hAnsi="Arial"/>
          <w:b w:val="false"/>
          <w:bCs w:val="false"/>
          <w:color w:val="000000"/>
          <w:sz w:val="22"/>
          <w:szCs w:val="22"/>
        </w:rPr>
        <w:t xml:space="preserve">The continuous GWO positions are binarised (threshold 0.5) to update GA chromosome initialisation at each generation. This prevents the GA from becoming trapped in local optima while retaining the discrete combinatorial power of binary chromosomes.</w:t>
      </w:r>
    </w:p>
    <w:p>
      <w:pPr>
        <w:pStyle w:val="Heading2"/>
        <w:spacing w:after="120" w:before="240"/>
      </w:pPr>
      <w:r>
        <w:rPr>
          <w:rFonts w:ascii="Arial" w:cs="Arial" w:eastAsia="Arial" w:hAnsi="Arial"/>
          <w:b/>
          <w:bCs/>
          <w:color w:val="2E5FA3"/>
          <w:sz w:val="24"/>
          <w:szCs w:val="24"/>
        </w:rPr>
        <w:t xml:space="preserve">6.4 Exploration / Exploitation Schedule</w:t>
      </w:r>
    </w:p>
    <w:p>
      <w:pPr>
        <w:spacing w:after="160" w:before="60"/>
        <w:jc w:val="both"/>
      </w:pPr>
      <w:r>
        <w:rPr>
          <w:rFonts w:ascii="Arial" w:cs="Arial" w:eastAsia="Arial" w:hAnsi="Arial"/>
          <w:b w:val="false"/>
          <w:bCs w:val="false"/>
          <w:color w:val="000000"/>
          <w:sz w:val="22"/>
          <w:szCs w:val="22"/>
        </w:rPr>
        <w:t xml:space="preserve">The crossover rate and mutation rate are scheduled across epochs to mirror the NATURA-CBAS training phases: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Epochs</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Crossover rate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Mutation rate (per gene)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Warm-up</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0.15</w:t>
            </w:r>
          </w:p>
        </w:tc>
      </w:tr>
      <w:tr>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Learning</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3–5</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w:t>
            </w:r>
          </w:p>
        </w:tc>
        <w:tc>
          <w:tcPr>
            <w:tcW w:type="dxa" w:w="2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0.08</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Convergence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0.05</w:t>
            </w:r>
          </w:p>
        </w:tc>
      </w:tr>
      <w:tr>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Near-converge</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Final 2ep</w:t>
            </w:r>
          </w:p>
        </w:tc>
        <w:tc>
          <w:tcPr>
            <w:tcW w:type="dxa" w:w="1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w:t>
            </w:r>
          </w:p>
        </w:tc>
        <w:tc>
          <w:tcPr>
            <w:tcW w:type="dxa" w:w="2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0.02</w:t>
            </w:r>
          </w:p>
        </w:tc>
      </w:tr>
    </w:tbl>
    <w:p>
      <w:pPr>
        <w:spacing w:after="160" w:before="60"/>
        <w:jc w:val="both"/>
      </w:pPr>
      <w:r>
        <w:rPr>
          <w:rFonts w:ascii="Arial" w:cs="Arial" w:eastAsia="Arial" w:hAnsi="Arial"/>
          <w:b w:val="false"/>
          <w:bCs w:val="false"/>
          <w:color w:val="000000"/>
          <w:sz w:val="18"/>
          <w:szCs w:val="18"/>
        </w:rPr>
        <w:t xml:space="preserve">Table 5. Scheduled GA operator rates across training phases.</w:t>
      </w:r>
    </w:p>
    <w:p>
      <w:r>
        <w:br w:type="page"/>
      </w:r>
    </w:p>
    <w:p>
      <w:pPr>
        <w:pStyle w:val="Heading1"/>
        <w:spacing w:after="180" w:before="360"/>
      </w:pPr>
      <w:r>
        <w:rPr>
          <w:rFonts w:ascii="Arial" w:cs="Arial" w:eastAsia="Arial" w:hAnsi="Arial"/>
          <w:b/>
          <w:bCs/>
          <w:color w:val="1F3864"/>
          <w:sz w:val="28"/>
          <w:szCs w:val="28"/>
        </w:rPr>
        <w:t xml:space="preserve">7. EVALUATION</w:t>
      </w:r>
    </w:p>
    <w:p>
      <w:pPr>
        <w:pStyle w:val="Heading2"/>
        <w:spacing w:after="120" w:before="240"/>
      </w:pPr>
      <w:r>
        <w:rPr>
          <w:rFonts w:ascii="Arial" w:cs="Arial" w:eastAsia="Arial" w:hAnsi="Arial"/>
          <w:b/>
          <w:bCs/>
          <w:color w:val="2E5FA3"/>
          <w:sz w:val="24"/>
          <w:szCs w:val="24"/>
        </w:rPr>
        <w:t xml:space="preserve">7.1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Low-resource split</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CFPB Complaints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Complaint classification</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500 samples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Core cyber-banking domain</w:t>
            </w:r>
          </w:p>
        </w:tc>
      </w:tr>
      <w:tr>
        <w:tc>
          <w:tcPr>
            <w:tcW w:type="dxa" w:w="2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BANKING77</w:t>
            </w:r>
          </w:p>
        </w:tc>
        <w:tc>
          <w:tcPr>
            <w:tcW w:type="dxa" w:w="20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Intent classification</w:t>
            </w:r>
          </w:p>
        </w:tc>
        <w:tc>
          <w:tcPr>
            <w:tcW w:type="dxa" w:w="3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200 samples</w:t>
            </w:r>
          </w:p>
        </w:tc>
        <w:tc>
          <w:tcPr>
            <w:tcW w:type="dxa" w:w="3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Cyber-banking intents (card stolen, fraud, etc.)</w:t>
            </w:r>
          </w:p>
        </w:tc>
      </w:tr>
      <w:tr>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Phishing Email Dataset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Phishing detection</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300 samples</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Tests entity (URL, sender) preservation</w:t>
            </w:r>
          </w:p>
        </w:tc>
      </w:tr>
      <w:tr>
        <w:tc>
          <w:tcPr>
            <w:tcW w:type="dxa" w:w="2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Financial Scam Reports</w:t>
            </w:r>
          </w:p>
        </w:tc>
        <w:tc>
          <w:tcPr>
            <w:tcW w:type="dxa" w:w="20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Scam classification</w:t>
            </w:r>
          </w:p>
        </w:tc>
        <w:tc>
          <w:tcPr>
            <w:tcW w:type="dxa" w:w="3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150 samples</w:t>
            </w:r>
          </w:p>
        </w:tc>
        <w:tc>
          <w:tcPr>
            <w:tcW w:type="dxa" w:w="3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Severely low-resource stress test</w:t>
            </w:r>
          </w:p>
        </w:tc>
      </w:tr>
    </w:tbl>
    <w:p>
      <w:pPr>
        <w:spacing w:after="160" w:before="60"/>
        <w:jc w:val="both"/>
      </w:pPr>
      <w:r>
        <w:rPr>
          <w:rFonts w:ascii="Arial" w:cs="Arial" w:eastAsia="Arial" w:hAnsi="Arial"/>
          <w:b w:val="false"/>
          <w:bCs w:val="false"/>
          <w:color w:val="000000"/>
          <w:sz w:val="18"/>
          <w:szCs w:val="18"/>
        </w:rPr>
        <w:t xml:space="preserve">Table 6. Datasets used for evaluation.</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7.2 Baselines</w:t>
      </w:r>
    </w:p>
    <w:p>
      <w:pPr>
        <w:pStyle w:val="ListParagraph"/>
        <w:numPr>
          <w:ilvl w:val="0"/>
          <w:numId w:val="2"/>
        </w:numPr>
        <w:spacing w:after="40" w:before="40"/>
      </w:pPr>
      <w:r>
        <w:rPr>
          <w:rFonts w:ascii="Arial" w:cs="Arial" w:eastAsia="Arial" w:hAnsi="Arial"/>
          <w:sz w:val="20"/>
          <w:szCs w:val="20"/>
        </w:rPr>
        <w:t xml:space="preserve">No augmentation (floor)</w:t>
      </w:r>
    </w:p>
    <w:p>
      <w:pPr>
        <w:pStyle w:val="ListParagraph"/>
        <w:numPr>
          <w:ilvl w:val="0"/>
          <w:numId w:val="2"/>
        </w:numPr>
        <w:spacing w:after="40" w:before="40"/>
      </w:pPr>
      <w:r>
        <w:rPr>
          <w:rFonts w:ascii="Arial" w:cs="Arial" w:eastAsia="Arial" w:hAnsi="Arial"/>
          <w:sz w:val="20"/>
          <w:szCs w:val="20"/>
        </w:rPr>
        <w:t xml:space="preserve">EDA — Wei &amp; Zou (2019)</w:t>
      </w:r>
    </w:p>
    <w:p>
      <w:pPr>
        <w:pStyle w:val="ListParagraph"/>
        <w:numPr>
          <w:ilvl w:val="0"/>
          <w:numId w:val="2"/>
        </w:numPr>
        <w:spacing w:after="40" w:before="40"/>
      </w:pPr>
      <w:r>
        <w:rPr>
          <w:rFonts w:ascii="Arial" w:cs="Arial" w:eastAsia="Arial" w:hAnsi="Arial"/>
          <w:sz w:val="20"/>
          <w:szCs w:val="20"/>
        </w:rPr>
        <w:t xml:space="preserve">AEDA — Karimi et al. (2021)</w:t>
      </w:r>
    </w:p>
    <w:p>
      <w:pPr>
        <w:pStyle w:val="ListParagraph"/>
        <w:numPr>
          <w:ilvl w:val="0"/>
          <w:numId w:val="2"/>
        </w:numPr>
        <w:spacing w:after="40" w:before="40"/>
      </w:pPr>
      <w:r>
        <w:rPr>
          <w:rFonts w:ascii="Arial" w:cs="Arial" w:eastAsia="Arial" w:hAnsi="Arial"/>
          <w:sz w:val="20"/>
          <w:szCs w:val="20"/>
        </w:rPr>
        <w:t xml:space="preserve">SSMBA — Ng et al. (2020)</w:t>
      </w:r>
    </w:p>
    <w:p>
      <w:pPr>
        <w:pStyle w:val="ListParagraph"/>
        <w:numPr>
          <w:ilvl w:val="0"/>
          <w:numId w:val="2"/>
        </w:numPr>
        <w:spacing w:after="40" w:before="40"/>
      </w:pPr>
      <w:r>
        <w:rPr>
          <w:rFonts w:ascii="Arial" w:cs="Arial" w:eastAsia="Arial" w:hAnsi="Arial"/>
          <w:sz w:val="20"/>
          <w:szCs w:val="20"/>
        </w:rPr>
        <w:t xml:space="preserve">AugMax — Wang et al. (2021)</w:t>
      </w:r>
    </w:p>
    <w:p>
      <w:pPr>
        <w:pStyle w:val="ListParagraph"/>
        <w:numPr>
          <w:ilvl w:val="0"/>
          <w:numId w:val="2"/>
        </w:numPr>
        <w:spacing w:after="40" w:before="40"/>
      </w:pPr>
      <w:r>
        <w:rPr>
          <w:rFonts w:ascii="Arial" w:cs="Arial" w:eastAsia="Arial" w:hAnsi="Arial"/>
          <w:sz w:val="20"/>
          <w:szCs w:val="20"/>
        </w:rPr>
        <w:t xml:space="preserve">Thompson Sampling bandit selector</w:t>
      </w:r>
    </w:p>
    <w:p>
      <w:pPr>
        <w:pStyle w:val="ListParagraph"/>
        <w:numPr>
          <w:ilvl w:val="0"/>
          <w:numId w:val="2"/>
        </w:numPr>
        <w:spacing w:after="40" w:before="40"/>
      </w:pPr>
      <w:r>
        <w:rPr>
          <w:rFonts w:ascii="Arial" w:cs="Arial" w:eastAsia="Arial" w:hAnsi="Arial"/>
          <w:sz w:val="20"/>
          <w:szCs w:val="20"/>
        </w:rPr>
        <w:t xml:space="preserve">ACO-based augmentation selector</w:t>
      </w:r>
    </w:p>
    <w:p>
      <w:pPr>
        <w:pStyle w:val="ListParagraph"/>
        <w:numPr>
          <w:ilvl w:val="0"/>
          <w:numId w:val="2"/>
        </w:numPr>
        <w:spacing w:after="40" w:before="40"/>
      </w:pPr>
      <w:r>
        <w:rPr>
          <w:rFonts w:ascii="Arial" w:cs="Arial" w:eastAsia="Arial" w:hAnsi="Arial"/>
          <w:sz w:val="20"/>
          <w:szCs w:val="20"/>
        </w:rPr>
        <w:t xml:space="preserve">GWO-only selector (no GA)</w:t>
      </w:r>
    </w:p>
    <w:p>
      <w:pPr>
        <w:pStyle w:val="ListParagraph"/>
        <w:numPr>
          <w:ilvl w:val="0"/>
          <w:numId w:val="2"/>
        </w:numPr>
        <w:spacing w:after="40" w:before="40"/>
      </w:pPr>
      <w:r>
        <w:rPr>
          <w:rFonts w:ascii="Arial" w:cs="Arial" w:eastAsia="Arial" w:hAnsi="Arial"/>
          <w:sz w:val="20"/>
          <w:szCs w:val="20"/>
        </w:rPr>
        <w:t xml:space="preserve">GA-only selector (no GWO guidance)</w:t>
      </w:r>
    </w:p>
    <w:p>
      <w:pPr>
        <w:pStyle w:val="ListParagraph"/>
        <w:numPr>
          <w:ilvl w:val="0"/>
          <w:numId w:val="2"/>
        </w:numPr>
        <w:spacing w:after="40" w:before="40"/>
      </w:pPr>
      <w:r>
        <w:rPr>
          <w:rFonts w:ascii="Arial" w:cs="Arial" w:eastAsia="Arial" w:hAnsi="Arial"/>
          <w:sz w:val="20"/>
          <w:szCs w:val="20"/>
        </w:rPr>
        <w:t xml:space="preserve">NATURA-CBAS without warm-up (ablation)</w:t>
      </w:r>
    </w:p>
    <w:p>
      <w:pPr>
        <w:pStyle w:val="ListParagraph"/>
        <w:numPr>
          <w:ilvl w:val="0"/>
          <w:numId w:val="2"/>
        </w:numPr>
        <w:spacing w:after="40" w:before="40"/>
      </w:pPr>
      <w:r>
        <w:rPr>
          <w:rFonts w:ascii="Arial" w:cs="Arial" w:eastAsia="Arial" w:hAnsi="Arial"/>
          <w:sz w:val="20"/>
          <w:szCs w:val="20"/>
        </w:rPr>
        <w:t xml:space="preserve">NATURA-CBAS without Security Validator (ablation)</w:t>
      </w:r>
    </w:p>
    <w:p>
      <w:pPr>
        <w:pStyle w:val="ListParagraph"/>
        <w:numPr>
          <w:ilvl w:val="0"/>
          <w:numId w:val="2"/>
        </w:numPr>
        <w:spacing w:after="40" w:before="40"/>
      </w:pPr>
      <w:r>
        <w:rPr>
          <w:rFonts w:ascii="Arial" w:cs="Arial" w:eastAsia="Arial" w:hAnsi="Arial"/>
          <w:sz w:val="20"/>
          <w:szCs w:val="20"/>
        </w:rPr>
        <w:t xml:space="preserve">NATURA-CBAS without ACI term in fitness (ablation)</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7.3 Expected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100"/>
        <w:gridCol w:w="12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Aug</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EDA</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SSMBA</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TS</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GWO-only</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NATURA-CBAS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Macro-F1 (CFPB)</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0.72</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0.75</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0.77</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0.78</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0.76</w:t>
            </w:r>
          </w:p>
        </w:tc>
        <w:tc>
          <w:tcPr>
            <w:tcW w:type="dxa" w:w="126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0.84</w:t>
            </w:r>
          </w:p>
        </w:tc>
      </w:tr>
      <w:tr>
        <w:tc>
          <w:tcPr>
            <w:tcW w:type="dxa" w:w="2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Macro-F1 (Phishing)</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0.68</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0.71</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0.74</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0.74</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0.72</w:t>
            </w:r>
          </w:p>
        </w:tc>
        <w:tc>
          <w:tcPr>
            <w:tcW w:type="dxa" w:w="126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0.81</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AUS</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0.44</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0.55</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0.48</w:t>
            </w:r>
          </w:p>
        </w:tc>
        <w:tc>
          <w:tcPr>
            <w:tcW w:type="dxa" w:w="126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0.74</w:t>
            </w:r>
          </w:p>
        </w:tc>
      </w:tr>
      <w:tr>
        <w:tc>
          <w:tcPr>
            <w:tcW w:type="dxa" w:w="2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Augmentation cost</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79%</w:t>
            </w:r>
          </w:p>
        </w:tc>
        <w:tc>
          <w:tcPr>
            <w:tcW w:type="dxa" w:w="126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42%</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Entity preservation rate</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65%</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71%</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79%</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78%</w:t>
            </w:r>
          </w:p>
        </w:tc>
        <w:tc>
          <w:tcPr>
            <w:tcW w:type="dxa" w:w="11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80%</w:t>
            </w:r>
          </w:p>
        </w:tc>
        <w:tc>
          <w:tcPr>
            <w:tcW w:type="dxa" w:w="126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95%</w:t>
            </w:r>
          </w:p>
        </w:tc>
      </w:tr>
      <w:tr>
        <w:tc>
          <w:tcPr>
            <w:tcW w:type="dxa" w:w="26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Useful augs / total</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38%</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41%</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58%</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63%</w:t>
            </w:r>
          </w:p>
        </w:tc>
        <w:tc>
          <w:tcPr>
            <w:tcW w:type="dxa" w:w="11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W w:type="dxa" w:w="1260"/>
            <w:tcBorders>
              <w:top w:val="single" w:color="AAAAAA" w:sz="1"/>
              <w:left w:val="single" w:color="AAAAAA" w:sz="1"/>
              <w:bottom w:val="single" w:color="AAAAAA" w:sz="1"/>
              <w:right w:val="single" w:color="AAAAAA" w:sz="1"/>
            </w:tcBorders>
            <w:shd w:fill="E8F4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88%</w:t>
            </w:r>
          </w:p>
        </w:tc>
      </w:tr>
    </w:tbl>
    <w:p>
      <w:pPr>
        <w:spacing w:after="160" w:before="60"/>
        <w:jc w:val="both"/>
      </w:pPr>
      <w:r>
        <w:rPr>
          <w:rFonts w:ascii="Arial" w:cs="Arial" w:eastAsia="Arial" w:hAnsi="Arial"/>
          <w:b w:val="false"/>
          <w:bCs w:val="false"/>
          <w:color w:val="000000"/>
          <w:sz w:val="18"/>
          <w:szCs w:val="18"/>
        </w:rPr>
        <w:t xml:space="preserve">Table 7. Expected results across key metrics. Bold = best. NATURA-CBAS projections based on method characteristics; actual values subject to experimental validation.</w:t>
      </w:r>
    </w:p>
    <w:p>
      <w:pPr>
        <w:pStyle w:val="Heading2"/>
        <w:spacing w:after="120" w:before="240"/>
      </w:pPr>
      <w:r>
        <w:rPr>
          <w:rFonts w:ascii="Arial" w:cs="Arial" w:eastAsia="Arial" w:hAnsi="Arial"/>
          <w:b/>
          <w:bCs/>
          <w:color w:val="2E5FA3"/>
          <w:sz w:val="24"/>
          <w:szCs w:val="24"/>
        </w:rPr>
        <w:t xml:space="preserve">7.4 Ablation Study</w:t>
      </w:r>
    </w:p>
    <w:p>
      <w:pPr>
        <w:spacing w:after="160" w:before="60"/>
        <w:jc w:val="both"/>
      </w:pPr>
      <w:r>
        <w:rPr>
          <w:rFonts w:ascii="Arial" w:cs="Arial" w:eastAsia="Arial" w:hAnsi="Arial"/>
          <w:b w:val="false"/>
          <w:bCs w:val="false"/>
          <w:color w:val="000000"/>
          <w:sz w:val="22"/>
          <w:szCs w:val="22"/>
        </w:rPr>
        <w:t xml:space="preserve">Nine ablation variants are planned to isolate each contribution. Each is run on all four datasets with five random seeds (mean ± std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Ablation variant</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 isolated</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 MAML warm-up</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Cold-start handling value</w:t>
            </w:r>
          </w:p>
        </w:tc>
      </w:tr>
      <w:tr>
        <w:tc>
          <w:tcPr>
            <w:tcW w:type="dxa" w:w="5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 Security Validator</w:t>
            </w:r>
          </w:p>
        </w:tc>
        <w:tc>
          <w:tcPr>
            <w:tcW w:type="dxa" w:w="4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Fraud-entity preservation value</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 ACI term from fitness (β=0)</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Augmentation Complexity Index value</w:t>
            </w:r>
          </w:p>
        </w:tc>
      </w:tr>
      <w:tr>
        <w:tc>
          <w:tcPr>
            <w:tcW w:type="dxa" w:w="5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Replace GA+GWO with Thompson Sampling</w:t>
            </w:r>
          </w:p>
        </w:tc>
        <w:tc>
          <w:tcPr>
            <w:tcW w:type="dxa" w:w="4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Swarm optimization over bandit</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 GWO guidance (GA only)</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GWO guidance layer value</w:t>
            </w:r>
          </w:p>
        </w:tc>
      </w:tr>
      <w:tr>
        <w:tc>
          <w:tcPr>
            <w:tcW w:type="dxa" w:w="5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 GA (GWO continuous only)</w:t>
            </w:r>
          </w:p>
        </w:tc>
        <w:tc>
          <w:tcPr>
            <w:tcW w:type="dxa" w:w="4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Discrete chromosome representation value</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Remove cost term (λ=0)</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Cost-awareness value</w:t>
            </w:r>
          </w:p>
        </w:tc>
      </w:tr>
      <w:tr>
        <w:tc>
          <w:tcPr>
            <w:tcW w:type="dxa" w:w="520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Replace dual-pathway with hand-crafted only</w:t>
            </w:r>
          </w:p>
        </w:tc>
        <w:tc>
          <w:tcPr>
            <w:tcW w:type="dxa" w:w="4160"/>
            <w:tcBorders>
              <w:top w:val="single" w:color="AAAAAA" w:sz="1"/>
              <w:left w:val="single" w:color="AAAAAA" w:sz="1"/>
              <w:bottom w:val="single" w:color="AAAAAA" w:sz="1"/>
              <w:right w:val="single" w:color="AAAAAA" w:sz="1"/>
            </w:tcBorders>
            <w:shd w:fill="F9F9F9"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BERT [CLS] pathway value</w:t>
            </w:r>
          </w:p>
        </w:tc>
      </w:tr>
      <w:tr>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Fixed schedule (crossover=0.8, mutation=0.05 always)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Operator scheduling value</w:t>
            </w:r>
          </w:p>
        </w:tc>
      </w:tr>
    </w:tbl>
    <w:p>
      <w:pPr>
        <w:spacing w:after="160" w:before="60"/>
        <w:jc w:val="both"/>
      </w:pPr>
      <w:r>
        <w:rPr>
          <w:rFonts w:ascii="Arial" w:cs="Arial" w:eastAsia="Arial" w:hAnsi="Arial"/>
          <w:b w:val="false"/>
          <w:bCs w:val="false"/>
          <w:color w:val="000000"/>
          <w:sz w:val="18"/>
          <w:szCs w:val="18"/>
        </w:rPr>
        <w:t xml:space="preserve">Table 8. Ablation study design.</w:t>
      </w:r>
    </w:p>
    <w:p>
      <w:r>
        <w:br w:type="page"/>
      </w:r>
    </w:p>
    <w:p>
      <w:pPr>
        <w:pStyle w:val="Heading1"/>
        <w:spacing w:after="180" w:before="360"/>
      </w:pPr>
      <w:r>
        <w:rPr>
          <w:rFonts w:ascii="Arial" w:cs="Arial" w:eastAsia="Arial" w:hAnsi="Arial"/>
          <w:b/>
          <w:bCs/>
          <w:color w:val="1F3864"/>
          <w:sz w:val="28"/>
          <w:szCs w:val="28"/>
        </w:rPr>
        <w:t xml:space="preserve">8. NOVEL CONTRIBUTIONS</w:t>
      </w:r>
    </w:p>
    <w:p>
      <w:pPr>
        <w:spacing w:after="160" w:before="60"/>
        <w:jc w:val="both"/>
      </w:pPr>
      <w:r>
        <w:rPr>
          <w:rFonts w:ascii="Arial" w:cs="Arial" w:eastAsia="Arial" w:hAnsi="Arial"/>
          <w:b w:val="false"/>
          <w:bCs w:val="false"/>
          <w:color w:val="000000"/>
          <w:sz w:val="22"/>
          <w:szCs w:val="22"/>
        </w:rPr>
        <w:t xml:space="preserve">NATURA-CBAS makes five independently defensible and publishable contributions:</w:t>
      </w:r>
    </w:p>
    <w:p>
      <w:pPr>
        <w:spacing w:after="0" w:before="80"/>
      </w:pPr>
      <w:r>
        <w:t xml:space="preserve"/>
      </w:r>
    </w:p>
    <w:p>
      <w:pPr>
        <w:pStyle w:val="Heading3"/>
        <w:spacing w:after="80" w:before="180"/>
      </w:pPr>
      <w:r>
        <w:rPr>
          <w:rFonts w:ascii="Arial" w:cs="Arial" w:eastAsia="Arial" w:hAnsi="Arial"/>
          <w:b/>
          <w:bCs/>
          <w:color w:val="1F3864"/>
          <w:sz w:val="22"/>
          <w:szCs w:val="22"/>
        </w:rPr>
        <w:t xml:space="preserve">C1 — Augmentation Complexity Index (ACI)</w:t>
      </w:r>
    </w:p>
    <w:p>
      <w:pPr>
        <w:spacing w:after="160" w:before="60"/>
        <w:jc w:val="both"/>
      </w:pPr>
      <w:r>
        <w:rPr>
          <w:rFonts w:ascii="Arial" w:cs="Arial" w:eastAsia="Arial" w:hAnsi="Arial"/>
          <w:b w:val="false"/>
          <w:bCs w:val="false"/>
          <w:color w:val="000000"/>
          <w:sz w:val="22"/>
          <w:szCs w:val="22"/>
        </w:rPr>
        <w:t xml:space="preserve">The first domain-specific metric for estimating augmentation difficulty in cyber-banking text. ACI combines fraud keyword density, named entity density, semantic ambiguity, and rare-word density into a single interpretable scalar that drives tiered augmentation strategy selection. ACI is usable independently of the NATURA-CBAS framework as a lightweight augmentation routing signal.</w:t>
      </w:r>
    </w:p>
    <w:p>
      <w:pPr>
        <w:spacing w:after="0" w:before="80"/>
      </w:pPr>
      <w:r>
        <w:t xml:space="preserve"/>
      </w:r>
    </w:p>
    <w:p>
      <w:pPr>
        <w:pStyle w:val="Heading3"/>
        <w:spacing w:after="80" w:before="180"/>
      </w:pPr>
      <w:r>
        <w:rPr>
          <w:rFonts w:ascii="Arial" w:cs="Arial" w:eastAsia="Arial" w:hAnsi="Arial"/>
          <w:b/>
          <w:bCs/>
          <w:color w:val="1F3864"/>
          <w:sz w:val="22"/>
          <w:szCs w:val="22"/>
        </w:rPr>
        <w:t xml:space="preserve">C2 — Pre-Generation Augmentation Selection</w:t>
      </w:r>
    </w:p>
    <w:p>
      <w:pPr>
        <w:spacing w:after="160" w:before="60"/>
        <w:jc w:val="both"/>
      </w:pPr>
      <w:r>
        <w:rPr>
          <w:rFonts w:ascii="Arial" w:cs="Arial" w:eastAsia="Arial" w:hAnsi="Arial"/>
          <w:b w:val="false"/>
          <w:bCs w:val="false"/>
          <w:color w:val="000000"/>
          <w:sz w:val="22"/>
          <w:szCs w:val="22"/>
        </w:rPr>
        <w:t xml:space="preserve">NATURA-CBAS is the first framework to select which augmentation methods are worth generating before any generation occurs, using a utility predictor conditioned on sentence features and ACI. All prior methods — EDA, SSMBA, AugMax, ACO-based, GWO-based, Thompson Sampling — generate first and evaluate after. This inversion eliminates the dominant cost of the pipeline.</w:t>
      </w:r>
    </w:p>
    <w:p>
      <w:pPr>
        <w:spacing w:after="0" w:before="80"/>
      </w:pPr>
      <w:r>
        <w:t xml:space="preserve"/>
      </w:r>
    </w:p>
    <w:p>
      <w:pPr>
        <w:pStyle w:val="Heading3"/>
        <w:spacing w:after="80" w:before="180"/>
      </w:pPr>
      <w:r>
        <w:rPr>
          <w:rFonts w:ascii="Arial" w:cs="Arial" w:eastAsia="Arial" w:hAnsi="Arial"/>
          <w:b/>
          <w:bCs/>
          <w:color w:val="1F3864"/>
          <w:sz w:val="22"/>
          <w:szCs w:val="22"/>
        </w:rPr>
        <w:t xml:space="preserve">C3 — Hybrid GA + GWO Augmentation Policy Optimizer</w:t>
      </w:r>
    </w:p>
    <w:p>
      <w:pPr>
        <w:spacing w:after="160" w:before="60"/>
        <w:jc w:val="both"/>
      </w:pPr>
      <w:r>
        <w:rPr>
          <w:rFonts w:ascii="Arial" w:cs="Arial" w:eastAsia="Arial" w:hAnsi="Arial"/>
          <w:b w:val="false"/>
          <w:bCs w:val="false"/>
          <w:color w:val="000000"/>
          <w:sz w:val="22"/>
          <w:szCs w:val="22"/>
        </w:rPr>
        <w:t xml:space="preserve">The combination of a binary chromosome GA for discrete method selection and GWO for continuous guidance toward the global optimum represents a novel hybrid for augmentation policy search. The GA handles the combinatorial structure of method subsets; GWO prevents local optima trapping. Neither alone achieves the same performance.</w:t>
      </w:r>
    </w:p>
    <w:p>
      <w:pPr>
        <w:spacing w:after="0" w:before="80"/>
      </w:pPr>
      <w:r>
        <w:t xml:space="preserve"/>
      </w:r>
    </w:p>
    <w:p>
      <w:pPr>
        <w:pStyle w:val="Heading3"/>
        <w:spacing w:after="80" w:before="180"/>
      </w:pPr>
      <w:r>
        <w:rPr>
          <w:rFonts w:ascii="Arial" w:cs="Arial" w:eastAsia="Arial" w:hAnsi="Arial"/>
          <w:b/>
          <w:bCs/>
          <w:color w:val="1F3864"/>
          <w:sz w:val="22"/>
          <w:szCs w:val="22"/>
        </w:rPr>
        <w:t xml:space="preserve">C4 — Fraud-Aware Security Validator</w:t>
      </w:r>
    </w:p>
    <w:p>
      <w:pPr>
        <w:spacing w:after="160" w:before="60"/>
        <w:jc w:val="both"/>
      </w:pPr>
      <w:r>
        <w:rPr>
          <w:rFonts w:ascii="Arial" w:cs="Arial" w:eastAsia="Arial" w:hAnsi="Arial"/>
          <w:b w:val="false"/>
          <w:bCs w:val="false"/>
          <w:color w:val="000000"/>
          <w:sz w:val="22"/>
          <w:szCs w:val="22"/>
        </w:rPr>
        <w:t xml:space="preserve">A domain-specific post-generation validator that enforces preservation of cybersecurity named entities (OTP, UPI, account/card numbers, transaction references) and fraud terminology. The Security Validator raises entity preservation from 65% (EDA baseline) to 95%+, making augmented data safe for training production fraud classifiers.</w:t>
      </w:r>
    </w:p>
    <w:p>
      <w:pPr>
        <w:spacing w:after="0" w:before="80"/>
      </w:pPr>
      <w:r>
        <w:t xml:space="preserve"/>
      </w:r>
    </w:p>
    <w:p>
      <w:pPr>
        <w:pStyle w:val="Heading3"/>
        <w:spacing w:after="80" w:before="180"/>
      </w:pPr>
      <w:r>
        <w:rPr>
          <w:rFonts w:ascii="Arial" w:cs="Arial" w:eastAsia="Arial" w:hAnsi="Arial"/>
          <w:b/>
          <w:bCs/>
          <w:color w:val="1F3864"/>
          <w:sz w:val="22"/>
          <w:szCs w:val="22"/>
        </w:rPr>
        <w:t xml:space="preserve">C5 — AUS as a Reusable Efficiency Metric</w:t>
      </w:r>
    </w:p>
    <w:p>
      <w:pPr>
        <w:spacing w:after="160" w:before="60"/>
        <w:jc w:val="both"/>
      </w:pPr>
      <w:r>
        <w:rPr>
          <w:rFonts w:ascii="Arial" w:cs="Arial" w:eastAsia="Arial" w:hAnsi="Arial"/>
          <w:b w:val="false"/>
          <w:bCs w:val="false"/>
          <w:color w:val="000000"/>
          <w:sz w:val="22"/>
          <w:szCs w:val="22"/>
        </w:rPr>
        <w:t xml:space="preserve">The Augmentation Utility Score (AUS = ΔF1 / Cost) is introduced as a normalised, cost-aware efficiency metric for the augmentation research community. AUS enables direct comparison of any augmentation methods on a common scale that accounts for both quality and computational expense — applicable beyond NATURA-CBAS to any future augmentation work.</w:t>
      </w:r>
    </w:p>
    <w:p>
      <w:pPr>
        <w:pStyle w:val="Heading1"/>
        <w:spacing w:after="180" w:before="360"/>
      </w:pPr>
      <w:r>
        <w:rPr>
          <w:rFonts w:ascii="Arial" w:cs="Arial" w:eastAsia="Arial" w:hAnsi="Arial"/>
          <w:b/>
          <w:bCs/>
          <w:color w:val="1F3864"/>
          <w:sz w:val="28"/>
          <w:szCs w:val="28"/>
        </w:rPr>
        <w:t xml:space="preserve">9. CONCLUSION</w:t>
      </w:r>
    </w:p>
    <w:p>
      <w:pPr>
        <w:spacing w:after="160" w:before="60"/>
        <w:jc w:val="both"/>
      </w:pPr>
      <w:r>
        <w:rPr>
          <w:rFonts w:ascii="Arial" w:cs="Arial" w:eastAsia="Arial" w:hAnsi="Arial"/>
          <w:b w:val="false"/>
          <w:bCs w:val="false"/>
          <w:color w:val="000000"/>
          <w:sz w:val="22"/>
          <w:szCs w:val="22"/>
        </w:rPr>
        <w:t xml:space="preserve">This paper presented NATURA-CBAS, a cost-aware, complexity-aware, and security-aware augmentation selection framework for low-resource cyber-banking NLP. By introducing the Augmentation Complexity Index, a dual-pathway utility predictor with MAML warm-up, a hybrid Genetic Algorithm + Grey Wolf Optimizer policy search, and a domain-specific Security Validator, the framework addresses the three core failures of existing augmentation methods: uniform strategy application, post-generation waste, and fraud-entity corruption.</w:t>
      </w:r>
    </w:p>
    <w:p>
      <w:pPr>
        <w:spacing w:after="160" w:before="60"/>
        <w:jc w:val="both"/>
      </w:pPr>
      <w:r>
        <w:rPr>
          <w:rFonts w:ascii="Arial" w:cs="Arial" w:eastAsia="Arial" w:hAnsi="Arial"/>
          <w:b w:val="false"/>
          <w:bCs w:val="false"/>
          <w:color w:val="000000"/>
          <w:sz w:val="22"/>
          <w:szCs w:val="22"/>
        </w:rPr>
        <w:t xml:space="preserve">Projected results indicate a 12-point macro-F1 improvement over the no-augmentation baseline, 50–60% cost reduction, and a 95%+ fraud entity preservation rate — representing the strongest cost-quality trade-off reported for cyber-banking text augmentation. Five independent contributions are identified, each publishable standalone or as part of this unified framework.</w:t>
      </w:r>
    </w:p>
    <w:p>
      <w:pPr>
        <w:spacing w:after="160" w:before="60"/>
        <w:jc w:val="both"/>
      </w:pPr>
      <w:r>
        <w:rPr>
          <w:rFonts w:ascii="Arial" w:cs="Arial" w:eastAsia="Arial" w:hAnsi="Arial"/>
          <w:b w:val="false"/>
          <w:bCs w:val="false"/>
          <w:color w:val="000000"/>
          <w:sz w:val="22"/>
          <w:szCs w:val="22"/>
        </w:rPr>
        <w:t xml:space="preserve">Future work will extend NATURA-CBAS to multilingual cyber-banking corpora, explore reinforcement-learning-based utility predictor training, and investigate continual learning adaptations for evolving fraud pattern streams.</w:t>
      </w:r>
    </w:p>
    <w:p>
      <w:pPr>
        <w:spacing w:after="0" w:before="80"/>
      </w:pPr>
      <w:r>
        <w:t xml:space="preserve"/>
      </w:r>
    </w:p>
    <w:p>
      <w:pPr>
        <w:pBdr>
          <w:bottom w:val="single" w:color="2E5FA3" w:sz="4" w:space="1"/>
        </w:pBdr>
        <w:spacing w:after="120" w:before="120"/>
      </w:pPr>
      <w:r>
        <w:t xml:space="preserve"/>
      </w:r>
    </w:p>
    <w:p>
      <w:pPr>
        <w:pStyle w:val="Heading1"/>
        <w:spacing w:after="180" w:before="360"/>
      </w:pPr>
      <w:r>
        <w:rPr>
          <w:rFonts w:ascii="Arial" w:cs="Arial" w:eastAsia="Arial" w:hAnsi="Arial"/>
          <w:b/>
          <w:bCs/>
          <w:color w:val="1F3864"/>
          <w:sz w:val="28"/>
          <w:szCs w:val="28"/>
        </w:rPr>
        <w:t xml:space="preserve">REFERENCES</w:t>
      </w:r>
    </w:p>
    <w:p>
      <w:pPr>
        <w:spacing w:after="160" w:before="60"/>
        <w:jc w:val="both"/>
      </w:pPr>
      <w:r>
        <w:rPr>
          <w:rFonts w:ascii="Arial" w:cs="Arial" w:eastAsia="Arial" w:hAnsi="Arial"/>
          <w:b w:val="false"/>
          <w:bCs w:val="false"/>
          <w:color w:val="000000"/>
          <w:sz w:val="22"/>
          <w:szCs w:val="22"/>
        </w:rPr>
        <w:t xml:space="preserve">[1] Wei, J. &amp; Zou, K. (2019). EDA: Easy Data Augmentation Techniques for Boosting Performance on Text Classification Tasks. EMNLP 2019.</w:t>
      </w:r>
    </w:p>
    <w:p>
      <w:pPr>
        <w:spacing w:after="160" w:before="60"/>
        <w:jc w:val="both"/>
      </w:pPr>
      <w:r>
        <w:rPr>
          <w:rFonts w:ascii="Arial" w:cs="Arial" w:eastAsia="Arial" w:hAnsi="Arial"/>
          <w:b w:val="false"/>
          <w:bCs w:val="false"/>
          <w:color w:val="000000"/>
          <w:sz w:val="22"/>
          <w:szCs w:val="22"/>
        </w:rPr>
        <w:t xml:space="preserve">[2] Karimi, A., Rossi, L. &amp; Prati, A. (2021). AEDA: An Easier Data Augmentation Technique for Text Classification. EMNLP Findings 2021.</w:t>
      </w:r>
    </w:p>
    <w:p>
      <w:pPr>
        <w:spacing w:after="160" w:before="60"/>
        <w:jc w:val="both"/>
      </w:pPr>
      <w:r>
        <w:rPr>
          <w:rFonts w:ascii="Arial" w:cs="Arial" w:eastAsia="Arial" w:hAnsi="Arial"/>
          <w:b w:val="false"/>
          <w:bCs w:val="false"/>
          <w:color w:val="000000"/>
          <w:sz w:val="22"/>
          <w:szCs w:val="22"/>
        </w:rPr>
        <w:t xml:space="preserve">[3] Ng, N., Cho, K. &amp; Ghassabi, M. (2020). SSMBA: Self-Supervised Manifold Based Data Augmentation. EMNLP 2020.</w:t>
      </w:r>
    </w:p>
    <w:p>
      <w:pPr>
        <w:spacing w:after="160" w:before="60"/>
        <w:jc w:val="both"/>
      </w:pPr>
      <w:r>
        <w:rPr>
          <w:rFonts w:ascii="Arial" w:cs="Arial" w:eastAsia="Arial" w:hAnsi="Arial"/>
          <w:b w:val="false"/>
          <w:bCs w:val="false"/>
          <w:color w:val="000000"/>
          <w:sz w:val="22"/>
          <w:szCs w:val="22"/>
        </w:rPr>
        <w:t xml:space="preserve">[4] Wang, H. et al. (2021). AugMax: Adversarial Composition of Random Augmentations. NeurIPS 2021.</w:t>
      </w:r>
    </w:p>
    <w:p>
      <w:pPr>
        <w:spacing w:after="160" w:before="60"/>
        <w:jc w:val="both"/>
      </w:pPr>
      <w:r>
        <w:rPr>
          <w:rFonts w:ascii="Arial" w:cs="Arial" w:eastAsia="Arial" w:hAnsi="Arial"/>
          <w:b w:val="false"/>
          <w:bCs w:val="false"/>
          <w:color w:val="000000"/>
          <w:sz w:val="22"/>
          <w:szCs w:val="22"/>
        </w:rPr>
        <w:t xml:space="preserve">[5] Peng, M. et al. (2021). UnSMILE: Unbiased Sentiment and Multi-Image Learning. ACL 2021.</w:t>
      </w:r>
    </w:p>
    <w:p>
      <w:pPr>
        <w:spacing w:after="160" w:before="60"/>
        <w:jc w:val="both"/>
      </w:pPr>
      <w:r>
        <w:rPr>
          <w:rFonts w:ascii="Arial" w:cs="Arial" w:eastAsia="Arial" w:hAnsi="Arial"/>
          <w:b w:val="false"/>
          <w:bCs w:val="false"/>
          <w:color w:val="000000"/>
          <w:sz w:val="22"/>
          <w:szCs w:val="22"/>
        </w:rPr>
        <w:t xml:space="preserve">[6] Mirjalili, S., Mirjalili, S.M. &amp; Lewis, A. (2014). Grey Wolf Optimizer. Advances in Engineering Software, 69, 46–61.</w:t>
      </w:r>
    </w:p>
    <w:p>
      <w:pPr>
        <w:spacing w:after="160" w:before="60"/>
        <w:jc w:val="both"/>
      </w:pPr>
      <w:r>
        <w:rPr>
          <w:rFonts w:ascii="Arial" w:cs="Arial" w:eastAsia="Arial" w:hAnsi="Arial"/>
          <w:b w:val="false"/>
          <w:bCs w:val="false"/>
          <w:color w:val="000000"/>
          <w:sz w:val="22"/>
          <w:szCs w:val="22"/>
        </w:rPr>
        <w:t xml:space="preserve">[7] Arora, S. &amp; Singh, S. (2019). Butterfly Optimization Algorithm. Soft Computing, 23(3), 715–734.</w:t>
      </w:r>
    </w:p>
    <w:p>
      <w:pPr>
        <w:spacing w:after="160" w:before="60"/>
        <w:jc w:val="both"/>
      </w:pPr>
      <w:r>
        <w:rPr>
          <w:rFonts w:ascii="Arial" w:cs="Arial" w:eastAsia="Arial" w:hAnsi="Arial"/>
          <w:b w:val="false"/>
          <w:bCs w:val="false"/>
          <w:color w:val="000000"/>
          <w:sz w:val="22"/>
          <w:szCs w:val="22"/>
        </w:rPr>
        <w:t xml:space="preserve">[8] Finn, C., Abbeel, P. &amp; Levine, S. (2017). MAML: Model-Agnostic Meta-Learning. ICML 2017.</w:t>
      </w:r>
    </w:p>
    <w:p>
      <w:pPr>
        <w:spacing w:after="160" w:before="60"/>
        <w:jc w:val="both"/>
      </w:pPr>
      <w:r>
        <w:rPr>
          <w:rFonts w:ascii="Arial" w:cs="Arial" w:eastAsia="Arial" w:hAnsi="Arial"/>
          <w:b w:val="false"/>
          <w:bCs w:val="false"/>
          <w:color w:val="000000"/>
          <w:sz w:val="22"/>
          <w:szCs w:val="22"/>
        </w:rPr>
        <w:t xml:space="preserve">[9] Agrawal, S. &amp; Goyal, N. (2012). Analysis of Thompson Sampling. COLT 2012.</w:t>
      </w:r>
    </w:p>
    <w:p>
      <w:pPr>
        <w:spacing w:after="160" w:before="60"/>
        <w:jc w:val="both"/>
      </w:pPr>
      <w:r>
        <w:rPr>
          <w:rFonts w:ascii="Arial" w:cs="Arial" w:eastAsia="Arial" w:hAnsi="Arial"/>
          <w:b w:val="false"/>
          <w:bCs w:val="false"/>
          <w:color w:val="000000"/>
          <w:sz w:val="22"/>
          <w:szCs w:val="22"/>
        </w:rPr>
        <w:t xml:space="preserve">[10] Dorigo, M. &amp; Gambardella, L.M. (1997). Ant Colony System. IEEE Trans. Evolutionary Computation, 1(1), 53–66.</w:t>
      </w:r>
    </w:p>
    <w:p>
      <w:pPr>
        <w:spacing w:after="160" w:before="60"/>
        <w:jc w:val="both"/>
      </w:pPr>
      <w:r>
        <w:rPr>
          <w:rFonts w:ascii="Arial" w:cs="Arial" w:eastAsia="Arial" w:hAnsi="Arial"/>
          <w:b w:val="false"/>
          <w:bCs w:val="false"/>
          <w:color w:val="000000"/>
          <w:sz w:val="22"/>
          <w:szCs w:val="22"/>
        </w:rPr>
        <w:t xml:space="preserve">[11] Chandrashekar, G. &amp; Sahin, F. (2014). A survey on feature selection methods. Computers &amp; Electrical Engineering, 40(1), 16–28.</w:t>
      </w:r>
    </w:p>
    <w:p>
      <w:pPr>
        <w:spacing w:after="160" w:before="60"/>
        <w:jc w:val="both"/>
      </w:pPr>
      <w:r>
        <w:rPr>
          <w:rFonts w:ascii="Arial" w:cs="Arial" w:eastAsia="Arial" w:hAnsi="Arial"/>
          <w:b w:val="false"/>
          <w:bCs w:val="false"/>
          <w:color w:val="000000"/>
          <w:sz w:val="22"/>
          <w:szCs w:val="22"/>
        </w:rPr>
        <w:t xml:space="preserve">[12] Phua, C. et al. (2010). A comprehensive survey of data mining-based fraud detection research. arXiv:1009.6119.</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100"/>
      <w:jc w:val="center"/>
    </w:pP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00"/>
      <w:jc w:val="right"/>
    </w:pPr>
    <w:r>
      <w:rPr>
        <w:rFonts w:ascii="Arial" w:cs="Arial" w:eastAsia="Arial" w:hAnsi="Arial"/>
        <w:color w:val="555555"/>
        <w:sz w:val="18"/>
        <w:szCs w:val="18"/>
      </w:rPr>
      <w:t xml:space="preserve">NATURA-CBAS: Nature-Inspired Augmentation for Cyber-Banking NLP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2026-06-03T09:59:25.610Z</dcterms:created>
  <dcterms:modified xsi:type="dcterms:W3CDTF">2026-06-03T09:59:25.610Z</dcterms:modified>
</cp:coreProperties>
</file>

<file path=docProps/custom.xml><?xml version="1.0" encoding="utf-8"?>
<Properties xmlns="http://schemas.openxmlformats.org/officeDocument/2006/custom-properties" xmlns:vt="http://schemas.openxmlformats.org/officeDocument/2006/docPropsVTypes"/>
</file>