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left"/>
      </w:pPr>
      <w:r>
        <w:rPr>
          <w:sz w:val="36"/>
        </w:rPr>
        <w:drawing>
          <wp:inline xmlns:a="http://schemas.openxmlformats.org/drawingml/2006/main" xmlns:pic="http://schemas.openxmlformats.org/drawingml/2006/picture">
            <wp:extent cx="2037600" cy="676800"/>
            <wp:docPr id="1" name="Picture 1"/>
            <wp:cNvGraphicFramePr>
              <a:graphicFrameLocks noChangeAspect="1"/>
            </wp:cNvGraphicFramePr>
            <a:graphic>
              <a:graphicData uri="http://schemas.openxmlformats.org/drawingml/2006/picture">
                <pic:pic>
                  <pic:nvPicPr>
                    <pic:cNvPr id="0" name="Picture 1.jpg"/>
                    <pic:cNvPicPr/>
                  </pic:nvPicPr>
                  <pic:blipFill>
                    <a:blip r:embed="rId9"/>
                    <a:stretch>
                      <a:fillRect/>
                    </a:stretch>
                  </pic:blipFill>
                  <pic:spPr>
                    <a:xfrm>
                      <a:off x="0" y="0"/>
                      <a:ext cx="2037600" cy="676800"/>
                    </a:xfrm>
                    <a:prstGeom prst="rect"/>
                  </pic:spPr>
                </pic:pic>
              </a:graphicData>
            </a:graphic>
          </wp:inline>
        </w:drawing>
        <w:t xml:space="preserve">			</w:t>
        <w:drawing>
          <wp:inline xmlns:a="http://schemas.openxmlformats.org/drawingml/2006/main" xmlns:pic="http://schemas.openxmlformats.org/drawingml/2006/picture">
            <wp:extent cx="3600000" cy="648000"/>
            <wp:docPr id="2" name="Picture 2"/>
            <wp:cNvGraphicFramePr>
              <a:graphicFrameLocks noChangeAspect="1"/>
            </wp:cNvGraphicFramePr>
            <a:graphic>
              <a:graphicData uri="http://schemas.openxmlformats.org/drawingml/2006/picture">
                <pic:pic>
                  <pic:nvPicPr>
                    <pic:cNvPr id="0" name="reg.png"/>
                    <pic:cNvPicPr/>
                  </pic:nvPicPr>
                  <pic:blipFill>
                    <a:blip r:embed="rId10"/>
                    <a:stretch>
                      <a:fillRect/>
                    </a:stretch>
                  </pic:blipFill>
                  <pic:spPr>
                    <a:xfrm>
                      <a:off x="0" y="0"/>
                      <a:ext cx="3600000" cy="648000"/>
                    </a:xfrm>
                    <a:prstGeom prst="rect"/>
                  </pic:spPr>
                </pic:pic>
              </a:graphicData>
            </a:graphic>
          </wp:inline>
        </w:drawing>
      </w:r>
    </w:p>
    <w:p>
      <w:pPr>
        <w:pStyle w:val="BodyText"/>
        <w:jc w:val="center"/>
      </w:pPr>
      <w:r>
        <w:rPr>
          <w:sz w:val="36"/>
        </w:rPr>
        <w:t>Question Paper Code: QE1243</w:t>
      </w:r>
    </w:p>
    <w:p>
      <w:pPr>
        <w:pStyle w:val="BodyText"/>
        <w:jc w:val="center"/>
      </w:pPr>
      <w:r>
        <w:rPr>
          <w:sz w:val="36"/>
        </w:rPr>
        <w:t>B.E./B.TECH. DEGREE EXAMINATIONS, .!frame.!entry5</w:t>
      </w:r>
    </w:p>
    <w:p>
      <w:pPr>
        <w:pStyle w:val="BodyText"/>
        <w:jc w:val="center"/>
      </w:pPr>
      <w:r>
        <w:rPr>
          <w:sz w:val="36"/>
        </w:rPr>
        <w:t>Continuous Assessment II</w:t>
      </w:r>
    </w:p>
    <w:p>
      <w:pPr>
        <w:pStyle w:val="BodyText"/>
        <w:jc w:val="center"/>
      </w:pPr>
      <w:r>
        <w:rPr>
          <w:sz w:val="36"/>
        </w:rPr>
        <w:t>Second Semester</w:t>
      </w:r>
    </w:p>
    <w:p>
      <w:pPr>
        <w:pStyle w:val="BodyText"/>
        <w:jc w:val="center"/>
      </w:pPr>
      <w:r>
        <w:rPr>
          <w:sz w:val="36"/>
        </w:rPr>
        <w:t>CS3451 - Java</w:t>
      </w:r>
    </w:p>
    <w:p>
      <w:pPr>
        <w:pStyle w:val="Heading1"/>
        <w:jc w:val="center"/>
      </w:pPr>
      <w:r>
        <w:rPr>
          <w:b/>
          <w:sz w:val="30"/>
        </w:rPr>
        <w:t>Part-A (5 X 2 = 10 Marks)</w:t>
      </w:r>
    </w:p>
    <w:tbl>
      <w:tblPr>
        <w:tblStyle w:val="TableGrid"/>
        <w:tblW w:type="auto" w:w="0"/>
        <w:tblLook w:firstColumn="1" w:firstRow="1" w:lastColumn="0" w:lastRow="0" w:noHBand="0" w:noVBand="1" w:val="04A0"/>
      </w:tblPr>
      <w:tblGrid>
        <w:gridCol w:w="1000"/>
        <w:gridCol w:w="10000"/>
        <w:gridCol w:w="1000"/>
        <w:gridCol w:w="1000"/>
      </w:tblGrid>
      <w:tr>
        <w:trPr>
          <w:trHeight w:val="400"/>
        </w:trPr>
        <w:tc>
          <w:tcPr>
            <w:tcW w:type="dxa" w:w="2776"/>
          </w:tcPr>
          <w:p>
            <w:r>
              <w:rPr>
                <w:sz w:val="22"/>
              </w:rPr>
              <w:t>Q.No</w:t>
            </w:r>
          </w:p>
        </w:tc>
        <w:tc>
          <w:tcPr>
            <w:tcW w:type="dxa" w:w="2776"/>
          </w:tcPr>
          <w:p>
            <w:r>
              <w:rPr>
                <w:sz w:val="22"/>
              </w:rPr>
              <w:t>Questions</w:t>
            </w:r>
          </w:p>
        </w:tc>
        <w:tc>
          <w:tcPr>
            <w:tcW w:type="dxa" w:w="2776"/>
          </w:tcPr>
          <w:p>
            <w:r>
              <w:rPr>
                <w:sz w:val="22"/>
              </w:rPr>
              <w:t>CO’s</w:t>
            </w:r>
          </w:p>
        </w:tc>
        <w:tc>
          <w:tcPr>
            <w:tcW w:type="dxa" w:w="2776"/>
          </w:tcPr>
          <w:p>
            <w:r>
              <w:rPr>
                <w:sz w:val="22"/>
              </w:rPr>
              <w:t>Bloom’s Level</w:t>
            </w:r>
          </w:p>
        </w:tc>
      </w:tr>
      <w:tr>
        <w:tc>
          <w:tcPr>
            <w:tcW w:type="dxa" w:w="1000"/>
          </w:tcPr>
          <w:p>
            <w:r>
              <w:t>4</w:t>
            </w:r>
          </w:p>
        </w:tc>
        <w:tc>
          <w:tcPr>
            <w:tcW w:type="dxa" w:w="10000"/>
          </w:tcPr>
          <w:p>
            <w:r>
              <w:t>What is work sampling?</w:t>
            </w:r>
          </w:p>
        </w:tc>
        <w:tc>
          <w:tcPr>
            <w:tcW w:type="dxa" w:w="1000"/>
          </w:tcPr>
          <w:p>
            <w:r>
              <w:t>CO2</w:t>
            </w:r>
          </w:p>
        </w:tc>
        <w:tc>
          <w:tcPr>
            <w:tcW w:type="dxa" w:w="1000"/>
          </w:tcPr>
          <w:p>
            <w:r>
              <w:t>K1</w:t>
            </w:r>
          </w:p>
        </w:tc>
      </w:tr>
      <w:tr>
        <w:tc>
          <w:tcPr>
            <w:tcW w:type="dxa" w:w="1000"/>
          </w:tcPr>
          <w:p>
            <w:r>
              <w:t>2</w:t>
            </w:r>
          </w:p>
        </w:tc>
        <w:tc>
          <w:tcPr>
            <w:tcW w:type="dxa" w:w="10000"/>
          </w:tcPr>
          <w:p>
            <w:r>
              <w:t>What are the objectives of method study?</w:t>
            </w:r>
          </w:p>
        </w:tc>
        <w:tc>
          <w:tcPr>
            <w:tcW w:type="dxa" w:w="1000"/>
          </w:tcPr>
          <w:p>
            <w:r>
              <w:t>CO2</w:t>
            </w:r>
          </w:p>
        </w:tc>
        <w:tc>
          <w:tcPr>
            <w:tcW w:type="dxa" w:w="1000"/>
          </w:tcPr>
          <w:p>
            <w:r>
              <w:t>K1</w:t>
            </w:r>
          </w:p>
        </w:tc>
      </w:tr>
      <w:tr>
        <w:tc>
          <w:tcPr>
            <w:tcW w:type="dxa" w:w="1000"/>
          </w:tcPr>
          <w:p>
            <w:r>
              <w:t>6</w:t>
            </w:r>
          </w:p>
        </w:tc>
        <w:tc>
          <w:tcPr>
            <w:tcW w:type="dxa" w:w="10000"/>
          </w:tcPr>
          <w:p>
            <w:r>
              <w:t>Define – Outline Process Chart</w:t>
            </w:r>
          </w:p>
        </w:tc>
        <w:tc>
          <w:tcPr>
            <w:tcW w:type="dxa" w:w="1000"/>
          </w:tcPr>
          <w:p>
            <w:r>
              <w:t>CO2</w:t>
            </w:r>
          </w:p>
        </w:tc>
        <w:tc>
          <w:tcPr>
            <w:tcW w:type="dxa" w:w="1000"/>
          </w:tcPr>
          <w:p>
            <w:r>
              <w:t>K1</w:t>
            </w:r>
          </w:p>
        </w:tc>
      </w:tr>
      <w:tr>
        <w:tc>
          <w:tcPr>
            <w:tcW w:type="dxa" w:w="1000"/>
          </w:tcPr>
          <w:p>
            <w:r>
              <w:t>5</w:t>
            </w:r>
          </w:p>
        </w:tc>
        <w:tc>
          <w:tcPr>
            <w:tcW w:type="dxa" w:w="10000"/>
          </w:tcPr>
          <w:p>
            <w:r>
              <w:t>Distinguish between in-process inventory, safety stock inventory and seasonal inventory</w:t>
            </w:r>
          </w:p>
        </w:tc>
        <w:tc>
          <w:tcPr>
            <w:tcW w:type="dxa" w:w="1000"/>
          </w:tcPr>
          <w:p>
            <w:r/>
          </w:p>
        </w:tc>
        <w:tc>
          <w:tcPr>
            <w:tcW w:type="dxa" w:w="1000"/>
          </w:tcPr>
          <w:p>
            <w:r/>
          </w:p>
        </w:tc>
      </w:tr>
      <w:tr>
        <w:tc>
          <w:tcPr>
            <w:tcW w:type="dxa" w:w="1000"/>
          </w:tcPr>
          <w:p>
            <w:r>
              <w:t>4</w:t>
            </w:r>
          </w:p>
        </w:tc>
        <w:tc>
          <w:tcPr>
            <w:tcW w:type="dxa" w:w="10000"/>
          </w:tcPr>
          <w:p>
            <w:r>
              <w:t>What is inventory control?</w:t>
            </w:r>
          </w:p>
        </w:tc>
        <w:tc>
          <w:tcPr>
            <w:tcW w:type="dxa" w:w="1000"/>
          </w:tcPr>
          <w:p>
            <w:r>
              <w:t>CO5</w:t>
            </w:r>
          </w:p>
        </w:tc>
        <w:tc>
          <w:tcPr>
            <w:tcW w:type="dxa" w:w="1000"/>
          </w:tcPr>
          <w:p>
            <w:r>
              <w:t>K1</w:t>
            </w:r>
          </w:p>
        </w:tc>
      </w:tr>
    </w:tbl>
    <w:p>
      <w:pPr>
        <w:jc w:val="center"/>
      </w:pPr>
      <w:r>
        <w:br/>
      </w:r>
    </w:p>
    <w:p>
      <w:pPr>
        <w:pStyle w:val="Heading1"/>
        <w:jc w:val="center"/>
      </w:pPr>
      <w:r>
        <w:rPr>
          <w:b/>
          <w:sz w:val="28"/>
        </w:rPr>
        <w:t>Part-B (2 x 13 = 26 Marks)</w:t>
      </w:r>
    </w:p>
    <w:tbl>
      <w:tblPr>
        <w:tblStyle w:val="TableGrid"/>
        <w:tblW w:type="auto" w:w="0"/>
        <w:tblLook w:firstColumn="1" w:firstRow="1" w:lastColumn="0" w:lastRow="0" w:noHBand="0" w:noVBand="1" w:val="04A0"/>
      </w:tblPr>
      <w:tblGrid>
        <w:gridCol w:w="1000"/>
        <w:gridCol w:w="10000"/>
        <w:gridCol w:w="1000"/>
        <w:gridCol w:w="1000"/>
      </w:tblGrid>
      <w:tr>
        <w:trPr>
          <w:trHeight w:val="400"/>
        </w:trPr>
        <w:tc>
          <w:tcPr>
            <w:tcW w:type="dxa" w:w="2776"/>
          </w:tcPr>
          <w:p>
            <w:r>
              <w:rPr>
                <w:sz w:val="22"/>
              </w:rPr>
              <w:t>Q.No</w:t>
            </w:r>
          </w:p>
        </w:tc>
        <w:tc>
          <w:tcPr>
            <w:tcW w:type="dxa" w:w="2776"/>
          </w:tcPr>
          <w:p>
            <w:r>
              <w:rPr>
                <w:sz w:val="22"/>
              </w:rPr>
              <w:t>Questions</w:t>
            </w:r>
          </w:p>
        </w:tc>
        <w:tc>
          <w:tcPr>
            <w:tcW w:type="dxa" w:w="2776"/>
          </w:tcPr>
          <w:p>
            <w:r>
              <w:rPr>
                <w:sz w:val="22"/>
              </w:rPr>
              <w:t>CO’s</w:t>
            </w:r>
          </w:p>
        </w:tc>
        <w:tc>
          <w:tcPr>
            <w:tcW w:type="dxa" w:w="2776"/>
          </w:tcPr>
          <w:p>
            <w:r>
              <w:rPr>
                <w:sz w:val="22"/>
              </w:rPr>
              <w:t>Bloom’s Level</w:t>
            </w:r>
          </w:p>
        </w:tc>
      </w:tr>
      <w:tr>
        <w:trPr>
          <w:trHeight w:val="400"/>
        </w:trPr>
        <w:tc>
          <w:tcPr>
            <w:tcW w:type="dxa" w:w="1000"/>
          </w:tcPr>
          <w:p>
            <w:r>
              <w:rPr>
                <w:sz w:val="22"/>
              </w:rPr>
              <w:t>3</w:t>
            </w:r>
          </w:p>
        </w:tc>
        <w:tc>
          <w:tcPr>
            <w:tcW w:type="dxa" w:w="10000"/>
          </w:tcPr>
          <w:p>
            <w:r>
              <w:rPr>
                <w:sz w:val="22"/>
              </w:rPr>
              <w:t>A manufacturer sells an item for Rs. 13 per unit. He incurs a fixed cost of Rs. 60,000 and a variable cost of Rs. 8 unit. Find the break even production quantity and also the no. of units to be produced to get a profit of Rs. 12000.</w:t>
            </w:r>
          </w:p>
        </w:tc>
        <w:tc>
          <w:tcPr>
            <w:tcW w:type="dxa" w:w="1000"/>
          </w:tcPr>
          <w:p>
            <w:r>
              <w:rPr>
                <w:sz w:val="22"/>
              </w:rPr>
              <w:t>CO1</w:t>
            </w:r>
          </w:p>
        </w:tc>
        <w:tc>
          <w:tcPr>
            <w:tcW w:type="dxa" w:w="1000"/>
          </w:tcPr>
          <w:p>
            <w:r>
              <w:rPr>
                <w:sz w:val="22"/>
              </w:rPr>
              <w:t>K2</w:t>
            </w:r>
          </w:p>
        </w:tc>
      </w:tr>
      <w:tr>
        <w:trPr>
          <w:trHeight w:val="400"/>
        </w:trPr>
        <w:tc>
          <w:tcPr>
            <w:tcW w:type="dxa" w:w="1000"/>
          </w:tcPr>
          <w:p>
            <w:r>
              <w:rPr>
                <w:sz w:val="22"/>
              </w:rPr>
              <w:t>2</w:t>
            </w:r>
          </w:p>
        </w:tc>
        <w:tc>
          <w:tcPr>
            <w:tcW w:type="dxa" w:w="10000"/>
          </w:tcPr>
          <w:p>
            <w:r>
              <w:rPr>
                <w:sz w:val="22"/>
              </w:rPr>
              <w:t>Explain the detailed notes on:</w:t>
              <w:br/>
              <w:t>i) Standardisation</w:t>
              <w:tab/>
              <w:t>ii) Simplification</w:t>
              <w:tab/>
              <w:t>iii) Specialisation</w:t>
            </w:r>
          </w:p>
        </w:tc>
        <w:tc>
          <w:tcPr>
            <w:tcW w:type="dxa" w:w="1000"/>
          </w:tcPr>
          <w:p>
            <w:r>
              <w:rPr>
                <w:sz w:val="22"/>
              </w:rPr>
              <w:t>CO1</w:t>
            </w:r>
          </w:p>
        </w:tc>
        <w:tc>
          <w:tcPr>
            <w:tcW w:type="dxa" w:w="1000"/>
          </w:tcPr>
          <w:p>
            <w:r>
              <w:rPr>
                <w:sz w:val="22"/>
              </w:rPr>
              <w:t>K2</w:t>
            </w:r>
          </w:p>
        </w:tc>
      </w:tr>
      <w:tr>
        <w:trPr>
          <w:trHeight w:val="400"/>
        </w:trPr>
        <w:tc>
          <w:tcPr>
            <w:tcW w:type="dxa" w:w="1000"/>
          </w:tcPr>
          <w:p>
            <w:r>
              <w:rPr>
                <w:sz w:val="22"/>
              </w:rPr>
              <w:t>3</w:t>
            </w:r>
          </w:p>
        </w:tc>
        <w:tc>
          <w:tcPr>
            <w:tcW w:type="dxa" w:w="10000"/>
          </w:tcPr>
          <w:p>
            <w:r>
              <w:rPr>
                <w:sz w:val="22"/>
              </w:rPr>
              <w:t>Explain about the EOQ? Derive the expression for EOQ when the demand of the item is uniform, the production rate is infinite and no stock-outs are allowed.</w:t>
            </w:r>
          </w:p>
        </w:tc>
        <w:tc>
          <w:tcPr>
            <w:tcW w:type="dxa" w:w="1000"/>
          </w:tcPr>
          <w:p>
            <w:r>
              <w:rPr>
                <w:sz w:val="22"/>
              </w:rPr>
              <w:t>CO5</w:t>
            </w:r>
          </w:p>
        </w:tc>
        <w:tc>
          <w:tcPr>
            <w:tcW w:type="dxa" w:w="1000"/>
          </w:tcPr>
          <w:p>
            <w:r>
              <w:rPr>
                <w:sz w:val="22"/>
              </w:rPr>
              <w:t>K2</w:t>
            </w:r>
          </w:p>
        </w:tc>
      </w:tr>
      <w:tr>
        <w:trPr>
          <w:trHeight w:val="400"/>
        </w:trPr>
        <w:tc>
          <w:tcPr>
            <w:tcW w:type="dxa" w:w="1000"/>
          </w:tcPr>
          <w:p>
            <w:r>
              <w:rPr>
                <w:sz w:val="22"/>
              </w:rPr>
              <w:t>1</w:t>
            </w:r>
          </w:p>
        </w:tc>
        <w:tc>
          <w:tcPr>
            <w:tcW w:type="dxa" w:w="10000"/>
          </w:tcPr>
          <w:p>
            <w:r>
              <w:rPr>
                <w:sz w:val="22"/>
              </w:rPr>
              <w:t>A manufacturer has to supply his customers 3600 units of his product per year. Shortages are not permitted. Inventory carrying cost amounts Rs. 12 per uit per annum. The set up cost per run is Rs. 80. Find (i) Economic order quantity (ii) Optimum number of orders per annum (iii) Average annual inventory cost (iv) Optimum period of supply per optimum order.</w:t>
            </w:r>
          </w:p>
        </w:tc>
        <w:tc>
          <w:tcPr>
            <w:tcW w:type="dxa" w:w="1000"/>
          </w:tcPr>
          <w:p>
            <w:r>
              <w:rPr>
                <w:sz w:val="22"/>
              </w:rPr>
              <w:t>CO5</w:t>
            </w:r>
          </w:p>
        </w:tc>
        <w:tc>
          <w:tcPr>
            <w:tcW w:type="dxa" w:w="1000"/>
          </w:tcPr>
          <w:p>
            <w:r>
              <w:rPr>
                <w:sz w:val="22"/>
              </w:rPr>
              <w:t>K2</w:t>
            </w:r>
          </w:p>
        </w:tc>
      </w:tr>
    </w:tbl>
    <w:p>
      <w:pPr>
        <w:jc w:val="center"/>
      </w:pPr>
      <w:r>
        <w:br/>
      </w:r>
    </w:p>
    <w:p>
      <w:pPr>
        <w:pStyle w:val="Heading1"/>
        <w:jc w:val="center"/>
      </w:pPr>
      <w:r>
        <w:rPr>
          <w:b/>
          <w:sz w:val="28"/>
        </w:rPr>
        <w:t>Part-C (1 x 14 = 14 Marks)</w:t>
      </w:r>
    </w:p>
    <w:tbl>
      <w:tblPr>
        <w:tblStyle w:val="TableGrid"/>
        <w:tblW w:type="auto" w:w="0"/>
        <w:tblLook w:firstColumn="1" w:firstRow="1" w:lastColumn="0" w:lastRow="0" w:noHBand="0" w:noVBand="1" w:val="04A0"/>
      </w:tblPr>
      <w:tblGrid>
        <w:gridCol w:w="1000"/>
        <w:gridCol w:w="10000"/>
        <w:gridCol w:w="1000"/>
        <w:gridCol w:w="1000"/>
      </w:tblGrid>
      <w:tr>
        <w:tc>
          <w:tcPr>
            <w:tcW w:type="dxa" w:w="2776"/>
          </w:tcPr>
          <w:p/>
        </w:tc>
        <w:tc>
          <w:tcPr>
            <w:tcW w:type="dxa" w:w="2776"/>
          </w:tcPr>
          <w:p/>
        </w:tc>
        <w:tc>
          <w:tcPr>
            <w:tcW w:type="dxa" w:w="2776"/>
          </w:tcPr>
          <w:p/>
        </w:tc>
        <w:tc>
          <w:tcPr>
            <w:tcW w:type="dxa" w:w="2776"/>
          </w:tcPr>
          <w:p/>
        </w:tc>
      </w:tr>
      <w:tr>
        <w:tc>
          <w:tcPr>
            <w:tcW w:type="dxa" w:w="1000"/>
          </w:tcPr>
          <w:p>
            <w:r>
              <w:t>4</w:t>
            </w:r>
          </w:p>
        </w:tc>
        <w:tc>
          <w:tcPr>
            <w:tcW w:type="dxa" w:w="10000"/>
          </w:tcPr>
          <w:p>
            <w:r>
              <w:t>Explain in detail the production aspects of product design</w:t>
            </w:r>
          </w:p>
        </w:tc>
        <w:tc>
          <w:tcPr>
            <w:tcW w:type="dxa" w:w="1000"/>
          </w:tcPr>
          <w:p>
            <w:r>
              <w:t>CO1</w:t>
            </w:r>
          </w:p>
        </w:tc>
        <w:tc>
          <w:tcPr>
            <w:tcW w:type="dxa" w:w="1000"/>
          </w:tcPr>
          <w:p>
            <w:r>
              <w:t>K2</w:t>
            </w:r>
          </w:p>
        </w:tc>
      </w:tr>
      <w:tr>
        <w:tc>
          <w:tcPr>
            <w:tcW w:type="dxa" w:w="1000"/>
          </w:tcPr>
          <w:p>
            <w:r>
              <w:t>2</w:t>
            </w:r>
          </w:p>
        </w:tc>
        <w:tc>
          <w:tcPr>
            <w:tcW w:type="dxa" w:w="10000"/>
          </w:tcPr>
          <w:p>
            <w:r>
              <w:t>Explain in brief the steps involved in conducting the method study procedure.</w:t>
            </w:r>
          </w:p>
        </w:tc>
        <w:tc>
          <w:tcPr>
            <w:tcW w:type="dxa" w:w="1000"/>
          </w:tcPr>
          <w:p>
            <w:r>
              <w:t>CO2</w:t>
            </w:r>
          </w:p>
        </w:tc>
        <w:tc>
          <w:tcPr>
            <w:tcW w:type="dxa" w:w="1000"/>
          </w:tcPr>
          <w:p>
            <w:r>
              <w:t>K2</w:t>
            </w:r>
          </w:p>
        </w:tc>
      </w:tr>
    </w:tbl>
    <w:sectPr w:rsidR="00FC693F" w:rsidRPr="0006063C" w:rsidSect="00034616">
      <w:pgSz w:w="12240" w:h="15840"/>
      <w:pgMar w:top="1440" w:right="567" w:bottom="1440" w:left="56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