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safa</w:t>
      </w:r>
    </w:p>
    <w:p>
      <w:pPr>
        <w:pStyle w:val="BodyText"/>
        <w:jc w:val="center"/>
      </w:pPr>
      <w:r>
        <w:rPr>
          <w:sz w:val="36"/>
        </w:rPr>
        <w:t>B.E./B.TECH. DEGREE EXAMINATIONS, .!canvas.!frame.!entry5</w:t>
      </w:r>
    </w:p>
    <w:p>
      <w:pPr>
        <w:pStyle w:val="BodyText"/>
        <w:jc w:val="center"/>
      </w:pPr>
      <w:r>
        <w:rPr>
          <w:sz w:val="36"/>
        </w:rPr>
        <w:t>Continuous Assessment II</w:t>
      </w:r>
    </w:p>
    <w:p>
      <w:pPr>
        <w:pStyle w:val="BodyText"/>
        <w:jc w:val="center"/>
      </w:pPr>
      <w:r>
        <w:rPr>
          <w:sz w:val="36"/>
        </w:rPr>
        <w:t>safaf Semester</w:t>
      </w:r>
    </w:p>
    <w:p>
      <w:pPr>
        <w:pStyle w:val="BodyText"/>
        <w:jc w:val="center"/>
      </w:pPr>
      <w:r>
        <w:rPr>
          <w:sz w:val="36"/>
        </w:rPr>
        <w:t>sadasa - adsdf</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c>
          <w:tcPr>
            <w:tcW w:type="dxa" w:w="1000"/>
          </w:tcPr>
          <w:p>
            <w:r>
              <w:t>1</w:t>
            </w:r>
          </w:p>
        </w:tc>
        <w:tc>
          <w:tcPr>
            <w:tcW w:type="dxa" w:w="10000"/>
          </w:tcPr>
          <w:p>
            <w:r>
              <w:t>Briefly explain the different tools and techniques used in the recording phase of method study</w:t>
            </w:r>
          </w:p>
        </w:tc>
        <w:tc>
          <w:tcPr>
            <w:tcW w:type="dxa" w:w="1000"/>
          </w:tcPr>
          <w:p>
            <w:r>
              <w:t>CO2</w:t>
            </w:r>
          </w:p>
        </w:tc>
        <w:tc>
          <w:tcPr>
            <w:tcW w:type="dxa" w:w="1000"/>
          </w:tcPr>
          <w:p>
            <w:r>
              <w:t>K2</w:t>
            </w:r>
          </w:p>
        </w:tc>
      </w:tr>
      <w:tr>
        <w:tc>
          <w:tcPr>
            <w:tcW w:type="dxa" w:w="1000"/>
          </w:tcPr>
          <w:p>
            <w:r>
              <w:t>2</w:t>
            </w:r>
          </w:p>
        </w:tc>
        <w:tc>
          <w:tcPr>
            <w:tcW w:type="dxa" w:w="10000"/>
          </w:tcPr>
          <w:p>
            <w:r>
              <w:t>What are therbligs?</w:t>
            </w:r>
          </w:p>
        </w:tc>
        <w:tc>
          <w:tcPr>
            <w:tcW w:type="dxa" w:w="1000"/>
          </w:tcPr>
          <w:p>
            <w:r>
              <w:t>CO2</w:t>
            </w:r>
          </w:p>
        </w:tc>
        <w:tc>
          <w:tcPr>
            <w:tcW w:type="dxa" w:w="1000"/>
          </w:tcPr>
          <w:p>
            <w:r>
              <w:t>K1</w:t>
            </w:r>
          </w:p>
        </w:tc>
      </w:tr>
      <w:tr>
        <w:tc>
          <w:tcPr>
            <w:tcW w:type="dxa" w:w="1000"/>
          </w:tcPr>
          <w:p>
            <w:r>
              <w:t>3</w:t>
            </w:r>
          </w:p>
        </w:tc>
        <w:tc>
          <w:tcPr>
            <w:tcW w:type="dxa" w:w="10000"/>
          </w:tcPr>
          <w:p>
            <w:r>
              <w:t>What is time study?</w:t>
            </w:r>
          </w:p>
        </w:tc>
        <w:tc>
          <w:tcPr>
            <w:tcW w:type="dxa" w:w="1000"/>
          </w:tcPr>
          <w:p>
            <w:r>
              <w:t>CO2</w:t>
            </w:r>
          </w:p>
        </w:tc>
        <w:tc>
          <w:tcPr>
            <w:tcW w:type="dxa" w:w="1000"/>
          </w:tcPr>
          <w:p>
            <w:r>
              <w:t>K1</w:t>
            </w:r>
          </w:p>
        </w:tc>
      </w:tr>
      <w:tr>
        <w:tc>
          <w:tcPr>
            <w:tcW w:type="dxa" w:w="1000"/>
          </w:tcPr>
          <w:p>
            <w:r>
              <w:t>4</w:t>
            </w:r>
          </w:p>
        </w:tc>
        <w:tc>
          <w:tcPr>
            <w:tcW w:type="dxa" w:w="10000"/>
          </w:tcPr>
          <w:p>
            <w:r>
              <w:t>Compare techniques of loading and scheduling?</w:t>
            </w:r>
          </w:p>
        </w:tc>
        <w:tc>
          <w:tcPr>
            <w:tcW w:type="dxa" w:w="1000"/>
          </w:tcPr>
          <w:p>
            <w:r>
              <w:t>CO4</w:t>
            </w:r>
          </w:p>
        </w:tc>
        <w:tc>
          <w:tcPr>
            <w:tcW w:type="dxa" w:w="1000"/>
          </w:tcPr>
          <w:p>
            <w:r>
              <w:t>K2</w:t>
            </w:r>
          </w:p>
        </w:tc>
      </w:tr>
      <w:tr>
        <w:tc>
          <w:tcPr>
            <w:tcW w:type="dxa" w:w="1000"/>
          </w:tcPr>
          <w:p>
            <w:r>
              <w:t>5</w:t>
            </w:r>
          </w:p>
        </w:tc>
        <w:tc>
          <w:tcPr>
            <w:tcW w:type="dxa" w:w="10000"/>
          </w:tcPr>
          <w:p>
            <w:r>
              <w:t>What are the advantages of Gantt load chart?</w:t>
            </w:r>
          </w:p>
        </w:tc>
        <w:tc>
          <w:tcPr>
            <w:tcW w:type="dxa" w:w="1000"/>
          </w:tcPr>
          <w:p>
            <w:r>
              <w:t>CO4</w:t>
            </w:r>
          </w:p>
        </w:tc>
        <w:tc>
          <w:tcPr>
            <w:tcW w:type="dxa" w:w="1000"/>
          </w:tcPr>
          <w:p>
            <w:r>
              <w:t>K1</w:t>
            </w:r>
          </w:p>
        </w:tc>
      </w:tr>
    </w:tbl>
    <w:p>
      <w:pPr>
        <w:jc w:val="center"/>
      </w:pPr>
      <w:r>
        <w:br/>
      </w:r>
    </w:p>
    <w:p>
      <w:pPr>
        <w:pStyle w:val="Heading1"/>
        <w:jc w:val="center"/>
      </w:pPr>
      <w:r>
        <w:rPr>
          <w:b/>
          <w:sz w:val="28"/>
        </w:rPr>
        <w:t>Part-B (2 x 13 = 26 Marks)</w:t>
      </w:r>
    </w:p>
    <w:tbl>
      <w:tblPr>
        <w:tblStyle w:val="TableGrid"/>
        <w:tblW w:type="auto" w:w="0"/>
        <w:tblLook w:firstColumn="1" w:firstRow="1" w:lastColumn="0" w:lastRow="0" w:noHBand="0" w:noVBand="1" w:val="04A0"/>
      </w:tblPr>
      <w:tblGrid>
        <w:gridCol w:w="1000"/>
        <w:gridCol w:w="10000"/>
        <w:gridCol w:w="1000"/>
        <w:gridCol w:w="1000"/>
      </w:tblGrid>
      <w:tr>
        <w:trPr>
          <w:trHeight w:val="400"/>
        </w:trPr>
        <w:tc>
          <w:tcPr>
            <w:tcW w:type="dxa" w:w="2776"/>
          </w:tcPr>
          <w:p>
            <w:r>
              <w:rPr>
                <w:sz w:val="22"/>
              </w:rPr>
              <w:t>Q.No</w:t>
            </w:r>
          </w:p>
        </w:tc>
        <w:tc>
          <w:tcPr>
            <w:tcW w:type="dxa" w:w="2776"/>
          </w:tcPr>
          <w:p>
            <w:r>
              <w:rPr>
                <w:sz w:val="22"/>
              </w:rPr>
              <w:t>Questions</w:t>
            </w:r>
          </w:p>
        </w:tc>
        <w:tc>
          <w:tcPr>
            <w:tcW w:type="dxa" w:w="2776"/>
          </w:tcPr>
          <w:p>
            <w:r>
              <w:rPr>
                <w:sz w:val="22"/>
              </w:rPr>
              <w:t>CO’s</w:t>
            </w:r>
          </w:p>
        </w:tc>
        <w:tc>
          <w:tcPr>
            <w:tcW w:type="dxa" w:w="2776"/>
          </w:tcPr>
          <w:p>
            <w:r>
              <w:rPr>
                <w:sz w:val="22"/>
              </w:rPr>
              <w:t>Bloom’s Level</w:t>
            </w:r>
          </w:p>
        </w:tc>
      </w:tr>
      <w:tr>
        <w:trPr>
          <w:trHeight w:val="400"/>
        </w:trPr>
        <w:tc>
          <w:tcPr>
            <w:tcW w:type="dxa" w:w="1000"/>
          </w:tcPr>
          <w:p>
            <w:r>
              <w:t>6. a.</w:t>
            </w:r>
          </w:p>
        </w:tc>
        <w:tc>
          <w:tcPr>
            <w:tcW w:type="dxa" w:w="10000"/>
          </w:tcPr>
          <w:p>
            <w:r>
              <w:rPr>
                <w:sz w:val="22"/>
              </w:rPr>
              <w:t>Explain the detailed account of the various factors considered while designing a product.</w:t>
            </w:r>
          </w:p>
        </w:tc>
        <w:tc>
          <w:tcPr>
            <w:tcW w:type="dxa" w:w="1000"/>
          </w:tcPr>
          <w:p>
            <w:r>
              <w:rPr>
                <w:sz w:val="22"/>
              </w:rPr>
              <w:t>CO1</w:t>
            </w:r>
          </w:p>
        </w:tc>
        <w:tc>
          <w:tcPr>
            <w:tcW w:type="dxa" w:w="1000"/>
          </w:tcPr>
          <w:p>
            <w:r>
              <w:rPr>
                <w:sz w:val="22"/>
              </w:rPr>
              <w:t>K2</w:t>
            </w:r>
          </w:p>
        </w:tc>
      </w:tr>
      <w:tr>
        <w:trPr>
          <w:trHeight w:val="400"/>
        </w:trPr>
        <w:tc>
          <w:tcPr>
            <w:tcW w:type="dxa" w:w="1000"/>
          </w:tcPr>
          <w:p>
            <w:r>
              <w:t>6. b.</w:t>
            </w:r>
          </w:p>
        </w:tc>
        <w:tc>
          <w:tcPr>
            <w:tcW w:type="dxa" w:w="10000"/>
          </w:tcPr>
          <w:p>
            <w:r>
              <w:rPr>
                <w:sz w:val="22"/>
              </w:rPr>
              <w:t>Discuss in detail:</w:t>
              <w:br/>
              <w:t>i) Breakeven Analysis</w:t>
              <w:tab/>
              <w:t>ii) Samuel Eilon model</w:t>
            </w:r>
          </w:p>
        </w:tc>
        <w:tc>
          <w:tcPr>
            <w:tcW w:type="dxa" w:w="1000"/>
          </w:tcPr>
          <w:p>
            <w:r>
              <w:rPr>
                <w:sz w:val="22"/>
              </w:rPr>
              <w:t>CO1</w:t>
            </w:r>
          </w:p>
        </w:tc>
        <w:tc>
          <w:tcPr>
            <w:tcW w:type="dxa" w:w="1000"/>
          </w:tcPr>
          <w:p>
            <w:r>
              <w:rPr>
                <w:sz w:val="22"/>
              </w:rPr>
              <w:t>K2</w:t>
            </w:r>
          </w:p>
        </w:tc>
      </w:tr>
      <w:tr>
        <w:trPr>
          <w:trHeight w:val="400"/>
        </w:trPr>
        <w:tc>
          <w:tcPr>
            <w:tcW w:type="dxa" w:w="1000"/>
          </w:tcPr>
          <w:p>
            <w:r>
              <w:t>7. a.</w:t>
            </w:r>
          </w:p>
        </w:tc>
        <w:tc>
          <w:tcPr>
            <w:tcW w:type="dxa" w:w="10000"/>
          </w:tcPr>
          <w:p>
            <w:r>
              <w:rPr>
                <w:sz w:val="22"/>
              </w:rPr>
              <w:t>Discuss in detail about the various factors that affect scheduling. Explain any one technique used in loading and scheduling process.</w:t>
            </w:r>
          </w:p>
        </w:tc>
        <w:tc>
          <w:tcPr>
            <w:tcW w:type="dxa" w:w="1000"/>
          </w:tcPr>
          <w:p>
            <w:r>
              <w:rPr>
                <w:sz w:val="22"/>
              </w:rPr>
              <w:t>CO4</w:t>
            </w:r>
          </w:p>
        </w:tc>
        <w:tc>
          <w:tcPr>
            <w:tcW w:type="dxa" w:w="1000"/>
          </w:tcPr>
          <w:p>
            <w:r>
              <w:rPr>
                <w:sz w:val="22"/>
              </w:rPr>
              <w:t>K2</w:t>
            </w:r>
          </w:p>
        </w:tc>
      </w:tr>
      <w:tr>
        <w:trPr>
          <w:trHeight w:val="400"/>
        </w:trPr>
        <w:tc>
          <w:tcPr>
            <w:tcW w:type="dxa" w:w="1000"/>
          </w:tcPr>
          <w:p>
            <w:r>
              <w:t>7. b.</w:t>
            </w:r>
          </w:p>
        </w:tc>
        <w:tc>
          <w:tcPr>
            <w:tcW w:type="dxa" w:w="10000"/>
          </w:tcPr>
          <w:p>
            <w:r>
              <w:rPr>
                <w:sz w:val="22"/>
              </w:rPr>
              <w:t>Explain the common methods adopted in industries for progress reporting.</w:t>
            </w:r>
          </w:p>
        </w:tc>
        <w:tc>
          <w:tcPr>
            <w:tcW w:type="dxa" w:w="1000"/>
          </w:tcPr>
          <w:p>
            <w:r>
              <w:rPr>
                <w:sz w:val="22"/>
              </w:rPr>
              <w:t>CO4</w:t>
            </w:r>
          </w:p>
        </w:tc>
        <w:tc>
          <w:tcPr>
            <w:tcW w:type="dxa" w:w="1000"/>
          </w:tcPr>
          <w:p>
            <w:r>
              <w:rPr>
                <w:sz w:val="22"/>
              </w:rPr>
              <w:t>K2</w:t>
            </w:r>
          </w:p>
        </w:tc>
      </w:tr>
    </w:tbl>
    <w:p>
      <w:pPr>
        <w:jc w:val="center"/>
      </w:pPr>
      <w:r>
        <w:br/>
      </w:r>
    </w:p>
    <w:p>
      <w:pPr>
        <w:pStyle w:val="Heading1"/>
        <w:jc w:val="center"/>
      </w:pPr>
      <w:r>
        <w:rPr>
          <w:b/>
          <w:sz w:val="28"/>
        </w:rPr>
        <w:t>Part-C (1 x 14 = 14 Marks)</w:t>
      </w:r>
    </w:p>
    <w:tbl>
      <w:tblPr>
        <w:tblStyle w:val="TableGrid"/>
        <w:tblW w:type="auto" w:w="0"/>
        <w:tblLook w:firstColumn="1" w:firstRow="1" w:lastColumn="0" w:lastRow="0" w:noHBand="0" w:noVBand="1" w:val="04A0"/>
      </w:tblPr>
      <w:tblGrid>
        <w:gridCol w:w="1000"/>
        <w:gridCol w:w="10000"/>
        <w:gridCol w:w="1000"/>
        <w:gridCol w:w="1000"/>
      </w:tblGrid>
      <w:tr>
        <w:tc>
          <w:tcPr>
            <w:tcW w:type="dxa" w:w="2776"/>
          </w:tcPr>
          <w:p/>
        </w:tc>
        <w:tc>
          <w:tcPr>
            <w:tcW w:type="dxa" w:w="2776"/>
          </w:tcPr>
          <w:p/>
        </w:tc>
        <w:tc>
          <w:tcPr>
            <w:tcW w:type="dxa" w:w="2776"/>
          </w:tcPr>
          <w:p/>
        </w:tc>
        <w:tc>
          <w:tcPr>
            <w:tcW w:type="dxa" w:w="2776"/>
          </w:tcPr>
          <w:p/>
        </w:tc>
      </w:tr>
      <w:tr>
        <w:tc>
          <w:tcPr>
            <w:tcW w:type="dxa" w:w="1000"/>
          </w:tcPr>
          <w:p>
            <w:r>
              <w:t>8. a.</w:t>
            </w:r>
          </w:p>
        </w:tc>
        <w:tc>
          <w:tcPr>
            <w:tcW w:type="dxa" w:w="10000"/>
          </w:tcPr>
          <w:p>
            <w:r>
              <w:t>A manufacturer sells an item for Rs. 13 per unit. He incurs a fixed cost of Rs. 60,000 and a variable cost of Rs. 8 unit. Find the break even production quantity and also the no. of units to be produced to get a profit of Rs. 12000.</w:t>
            </w:r>
          </w:p>
        </w:tc>
        <w:tc>
          <w:tcPr>
            <w:tcW w:type="dxa" w:w="1000"/>
          </w:tcPr>
          <w:p>
            <w:r>
              <w:t>CO1</w:t>
            </w:r>
          </w:p>
        </w:tc>
        <w:tc>
          <w:tcPr>
            <w:tcW w:type="dxa" w:w="1000"/>
          </w:tcPr>
          <w:p>
            <w:r>
              <w:t>K2</w:t>
            </w:r>
          </w:p>
        </w:tc>
      </w:tr>
      <w:tr>
        <w:tc>
          <w:tcPr>
            <w:tcW w:type="dxa" w:w="1000"/>
          </w:tcPr>
          <w:p>
            <w:r>
              <w:t>8. b.</w:t>
            </w:r>
          </w:p>
        </w:tc>
        <w:tc>
          <w:tcPr>
            <w:tcW w:type="dxa" w:w="10000"/>
          </w:tcPr>
          <w:p>
            <w:r>
              <w:t>Explain the procedural steps involved in the work sampling study and illustrate how work sampling is used for the computation of standard time for an operation which involves both manual and machine elements.</w:t>
            </w:r>
          </w:p>
        </w:tc>
        <w:tc>
          <w:tcPr>
            <w:tcW w:type="dxa" w:w="1000"/>
          </w:tcPr>
          <w:p>
            <w:r>
              <w:t>CO2</w:t>
            </w:r>
          </w:p>
        </w:tc>
        <w:tc>
          <w:tcPr>
            <w:tcW w:type="dxa" w:w="10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