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Software Architect Transition</w:t>
      </w:r>
    </w:p>
    <w:p>
      <w:r>
        <w:t>Day 1 Learning Notes | Architecture fundamentals, event-driven reliability and non-functional requirements</w:t>
      </w:r>
    </w:p>
    <w:p>
      <w:r>
        <w:t>Learning objective: move from selecting technologies to defining measurable guarantees, testing failure modes, and defending trade-offs.</w:t>
      </w:r>
    </w:p>
    <w:p>
      <w:pPr>
        <w:pStyle w:val="Heading1"/>
      </w:pPr>
      <w:r>
        <w:t>1. Developer thinking vs architect thinking</w:t>
      </w:r>
    </w:p>
    <w:p>
      <w:r>
        <w:t>Developers implement behavior; architects also establish system-wide requirements, failure guarantees, operational limits and trade-offs. Before adding Kubernetes, Kafka, Redis or replicas, measure the bottleneck and clarify the business need.</w:t>
      </w:r>
    </w:p>
    <w:p>
      <w:pPr>
        <w:pStyle w:val="ListBullet"/>
      </w:pPr>
      <w:r>
        <w:t>Ask what happens under peak traffic, dependency failures, retries, duplicate requests and partial outages.</w:t>
      </w:r>
    </w:p>
    <w:p>
      <w:pPr>
        <w:pStyle w:val="ListBullet"/>
      </w:pPr>
      <w:r>
        <w:t>More API instances do not automatically increase PostgreSQL write capacity.</w:t>
      </w:r>
    </w:p>
    <w:p>
      <w:pPr>
        <w:pStyle w:val="ListBullet"/>
      </w:pPr>
      <w:r>
        <w:t>A cache helps when a meaningful portion of requests can be served from it; invalidation and freshness matter.</w:t>
      </w:r>
    </w:p>
    <w:p>
      <w:pPr>
        <w:pStyle w:val="ListBullet"/>
      </w:pPr>
      <w:r>
        <w:t>Read replicas may offload reads but introduce replication lag and consistency decisions.</w:t>
      </w:r>
    </w:p>
    <w:p>
      <w:pPr>
        <w:pStyle w:val="Heading1"/>
      </w:pPr>
      <w:r>
        <w:t>2. Order processing: synchronous vs asynchronous</w:t>
      </w:r>
    </w:p>
    <w:p>
      <w:r>
        <w:t>Proposed flow: Client -&gt; Order API -&gt; Kafka -&gt; Consumer -&gt; PostgreSQL. Kafka can buffer work, but cannot increase the database's sustainable write throughput. Ordering is per partition, not global.</w:t>
      </w:r>
    </w:p>
    <w:p>
      <w:r>
        <w:t>HTTP 202 Accepted means accepted for processing, not persisted or fulfilled. Return an order identifier and status URL; do not promise completion. An example response is 202 with orderId=ORD-101, status=ACCEPTED and Location=/orders/ORD-101/status.</w:t>
      </w:r>
    </w:p>
    <w:p>
      <w:pPr>
        <w:pStyle w:val="Heading2"/>
      </w:pPr>
      <w:r>
        <w:t>State model</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State</w:t>
            </w:r>
          </w:p>
        </w:tc>
        <w:tc>
          <w:tcPr>
            <w:tcW w:type="dxa" w:w="4320"/>
          </w:tcPr>
          <w:p>
            <w:r>
              <w:t>Meaning</w:t>
            </w:r>
          </w:p>
        </w:tc>
      </w:tr>
      <w:tr>
        <w:tc>
          <w:tcPr>
            <w:tcW w:type="dxa" w:w="4320"/>
          </w:tcPr>
          <w:p>
            <w:r>
              <w:t>ACCEPTED</w:t>
            </w:r>
          </w:p>
        </w:tc>
        <w:tc>
          <w:tcPr>
            <w:tcW w:type="dxa" w:w="4320"/>
          </w:tcPr>
          <w:p>
            <w:r>
              <w:t>Order durably accepted, but database persistence not confirmed.</w:t>
            </w:r>
          </w:p>
        </w:tc>
      </w:tr>
      <w:tr>
        <w:tc>
          <w:tcPr>
            <w:tcW w:type="dxa" w:w="4320"/>
          </w:tcPr>
          <w:p>
            <w:r>
              <w:t>PERSISTED</w:t>
            </w:r>
          </w:p>
        </w:tc>
        <w:tc>
          <w:tcPr>
            <w:tcW w:type="dxa" w:w="4320"/>
          </w:tcPr>
          <w:p>
            <w:r>
              <w:t>Order database transaction committed.</w:t>
            </w:r>
          </w:p>
        </w:tc>
      </w:tr>
      <w:tr>
        <w:tc>
          <w:tcPr>
            <w:tcW w:type="dxa" w:w="4320"/>
          </w:tcPr>
          <w:p>
            <w:r>
              <w:t>FAILED</w:t>
            </w:r>
          </w:p>
        </w:tc>
        <w:tc>
          <w:tcPr>
            <w:tcW w:type="dxa" w:w="4320"/>
          </w:tcPr>
          <w:p>
            <w:r>
              <w:t>Confirmed terminal failure under an explicit policy.</w:t>
            </w:r>
          </w:p>
        </w:tc>
      </w:tr>
    </w:tbl>
    <w:p>
      <w:r>
        <w:t>A temporary database outage does not by itself make an accepted order FAILED. Retry attempts and operational health can be tracked separately from business state. A status endpoint backed only by the failed PostgreSQL database may be unavailable; an independent status projection adds cost and consistency complexity.</w:t>
      </w:r>
    </w:p>
    <w:p>
      <w:pPr>
        <w:pStyle w:val="Heading1"/>
      </w:pPr>
      <w:r>
        <w:t>3. Kafka offsets, delivery and idempotency</w:t>
      </w:r>
    </w:p>
    <w:p>
      <w:r>
        <w:t>Kafka can redeliver after a crash: PostgreSQL commits, then the consumer crashes before its Kafka offset commit. PostgreSQL and Kafka offsets are not one atomic transaction by default.</w:t>
      </w:r>
    </w:p>
    <w:p>
      <w:pPr>
        <w:pStyle w:val="ListBullet"/>
      </w:pPr>
      <w:r>
        <w:t>Commit Kafka offsets only after successful durable handling of corresponding records.</w:t>
      </w:r>
    </w:p>
    <w:p>
      <w:pPr>
        <w:pStyle w:val="ListBullet"/>
      </w:pPr>
      <w:r>
        <w:t>Use a unique event ID and a processed_events table; insert the marker and apply the business effect in the same PostgreSQL transaction.</w:t>
      </w:r>
    </w:p>
    <w:p>
      <w:pPr>
        <w:pStyle w:val="ListBullet"/>
      </w:pPr>
      <w:r>
        <w:t>An application-level existsById check alone is vulnerable to a check-then-act race. A database uniqueness constraint is the final enforcement.</w:t>
      </w:r>
    </w:p>
    <w:p>
      <w:pPr>
        <w:pStyle w:val="ListBullet"/>
      </w:pPr>
      <w:r>
        <w:t>Client retry idempotency is separate: associate an Idempotency-Key with customer and payload so repeated POSTs map to one logical order.</w:t>
      </w:r>
    </w:p>
    <w:p>
      <w:pPr>
        <w:pStyle w:val="ListBullet"/>
      </w:pPr>
      <w:r>
        <w:t>DLT consumers also need idempotency: lost DLT publish acknowledgments can cause duplicate DLT events.</w:t>
      </w:r>
    </w:p>
    <w:p>
      <w:r>
        <w:t>Example: consumer saves ORD-101, crashes before offset commit, then sees ORD-101 again. A unique order/event constraint prevents a second business effect; the record may still be redelivered.</w:t>
      </w:r>
    </w:p>
    <w:p>
      <w:pPr>
        <w:pStyle w:val="Heading1"/>
      </w:pPr>
      <w:r>
        <w:t>4. Outages, retry and dead-letter handling</w:t>
      </w:r>
    </w:p>
    <w:p>
      <w:r>
        <w:t>When PostgreSQL is unavailable, do not commit past unprocessed records. Back off, pause consumption, or use controlled retry infrastructure. Kafka retention is finite; recovery plans must account for lag, retention, and monitoring.</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Failure type</w:t>
            </w:r>
          </w:p>
        </w:tc>
        <w:tc>
          <w:tcPr>
            <w:tcW w:type="dxa" w:w="4320"/>
          </w:tcPr>
          <w:p>
            <w:r>
              <w:t>Response</w:t>
            </w:r>
          </w:p>
        </w:tc>
      </w:tr>
      <w:tr>
        <w:tc>
          <w:tcPr>
            <w:tcW w:type="dxa" w:w="4320"/>
          </w:tcPr>
          <w:p>
            <w:r>
              <w:t>Transient database outage</w:t>
            </w:r>
          </w:p>
        </w:tc>
        <w:tc>
          <w:tcPr>
            <w:tcW w:type="dxa" w:w="4320"/>
          </w:tcPr>
          <w:p>
            <w:r>
              <w:t>Retry/backoff, monitor lag and SLA, retain recoverable events.</w:t>
            </w:r>
          </w:p>
        </w:tc>
      </w:tr>
      <w:tr>
        <w:tc>
          <w:tcPr>
            <w:tcW w:type="dxa" w:w="4320"/>
          </w:tcPr>
          <w:p>
            <w:r>
              <w:t>Permanent invalid event</w:t>
            </w:r>
          </w:p>
        </w:tc>
        <w:tc>
          <w:tcPr>
            <w:tcW w:type="dxa" w:w="4320"/>
          </w:tcPr>
          <w:p>
            <w:r>
              <w:t>Quarantine to DLT with original topic/partition/offset and error metadata.</w:t>
            </w:r>
          </w:p>
        </w:tc>
      </w:tr>
      <w:tr>
        <w:tc>
          <w:tcPr>
            <w:tcW w:type="dxa" w:w="4320"/>
          </w:tcPr>
          <w:p>
            <w:r>
              <w:t>DLT publish unconfirmed</w:t>
            </w:r>
          </w:p>
        </w:tc>
        <w:tc>
          <w:tcPr>
            <w:tcW w:type="dxa" w:w="4320"/>
          </w:tcPr>
          <w:p>
            <w:r>
              <w:t>Do not advance source offset past the event until durable handling is confirmed.</w:t>
            </w:r>
          </w:p>
        </w:tc>
      </w:tr>
    </w:tbl>
    <w:p>
      <w:r>
        <w:t>A time threshold is usually an alert or escalation trigger, not sufficient reason alone to send all valid messages to a DLT.</w:t>
      </w:r>
    </w:p>
    <w:p>
      <w:pPr>
        <w:pStyle w:val="Heading1"/>
      </w:pPr>
      <w:r>
        <w:t>5. Backpressure, database pools and batching</w:t>
      </w:r>
    </w:p>
    <w:p>
      <w:r>
        <w:t>Control both throughput (writes/sec) and concurrency (active operations). A connection pool limits concurrent connections and reduces connection setup overhead; it does not by itself reduce database write volume.</w:t>
      </w:r>
    </w:p>
    <w:p>
      <w:r>
        <w:t>Recovery example: backlog 100,000, consumer throughput 300 orders/sec, new traffic 167 orders/sec. Net drain is 133 orders/sec, so backlog clears in approximately 752 seconds (12.5 minutes), assuming stable rates and no retries.</w:t>
      </w:r>
    </w:p>
    <w:p>
      <w:r>
        <w:t>Backlog recovery time = backlog / (processing rate - incoming rate), provided processing rate exceeds incoming rate.</w:t>
      </w:r>
    </w:p>
    <w:p>
      <w:r>
        <w:t>Batch processing reduces overhead but expands rollback impact. If event 50 of 100 is invalid, rolling back and retrying the identical batch forever is unsafe. Distinguish transient from permanent errors, isolate invalid records, persist valid records idempotently, and safely quarantine invalid records before advancing offsets. Track offsets independently per partition and only commit contiguous completed progress.</w:t>
      </w:r>
    </w:p>
    <w:p>
      <w:pPr>
        <w:pStyle w:val="Heading1"/>
      </w:pPr>
      <w:r>
        <w:t>6. Functional requirements and NFRs</w:t>
      </w:r>
    </w:p>
    <w:p>
      <w:r>
        <w:t>Functional requirements specify behavior (place order, query status, cancel order). Non-functional requirements specify quality targets and constraints (throughput, latency, availability, durability, security, recovery). Good NFRs have workload assumptions, numerical targets, measurement method and failure scope.</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Quality</w:t>
            </w:r>
          </w:p>
        </w:tc>
        <w:tc>
          <w:tcPr>
            <w:tcW w:type="dxa" w:w="2880"/>
          </w:tcPr>
          <w:p>
            <w:r>
              <w:t>Example measurable target</w:t>
            </w:r>
          </w:p>
        </w:tc>
        <w:tc>
          <w:tcPr>
            <w:tcW w:type="dxa" w:w="2880"/>
          </w:tcPr>
          <w:p>
            <w:r>
              <w:t>Verification</w:t>
            </w:r>
          </w:p>
        </w:tc>
      </w:tr>
      <w:tr>
        <w:tc>
          <w:tcPr>
            <w:tcW w:type="dxa" w:w="2880"/>
          </w:tcPr>
          <w:p>
            <w:r>
              <w:t>Performance</w:t>
            </w:r>
          </w:p>
        </w:tc>
        <w:tc>
          <w:tcPr>
            <w:tcW w:type="dxa" w:w="2880"/>
          </w:tcPr>
          <w:p>
            <w:r>
              <w:t>10,000 orders/min; p95 API latency &lt;300 ms</w:t>
            </w:r>
          </w:p>
        </w:tc>
        <w:tc>
          <w:tcPr>
            <w:tcW w:type="dxa" w:w="2880"/>
          </w:tcPr>
          <w:p>
            <w:r>
              <w:t>Representative sustained load test</w:t>
            </w:r>
          </w:p>
        </w:tc>
      </w:tr>
      <w:tr>
        <w:tc>
          <w:tcPr>
            <w:tcW w:type="dxa" w:w="2880"/>
          </w:tcPr>
          <w:p>
            <w:r>
              <w:t>Availability</w:t>
            </w:r>
          </w:p>
        </w:tc>
        <w:tc>
          <w:tcPr>
            <w:tcW w:type="dxa" w:w="2880"/>
          </w:tcPr>
          <w:p>
            <w:r>
              <w:t>Survive one application instance failure with &lt;=30 s disruption</w:t>
            </w:r>
          </w:p>
        </w:tc>
        <w:tc>
          <w:tcPr>
            <w:tcW w:type="dxa" w:w="2880"/>
          </w:tcPr>
          <w:p>
            <w:r>
              <w:t>Failure-injection test</w:t>
            </w:r>
          </w:p>
        </w:tc>
      </w:tr>
      <w:tr>
        <w:tc>
          <w:tcPr>
            <w:tcW w:type="dxa" w:w="2880"/>
          </w:tcPr>
          <w:p>
            <w:r>
              <w:t>Durability</w:t>
            </w:r>
          </w:p>
        </w:tc>
        <w:tc>
          <w:tcPr>
            <w:tcW w:type="dxa" w:w="2880"/>
          </w:tcPr>
          <w:p>
            <w:r>
              <w:t>No acknowledged order lost after a single broker/app failure within defined guarantees</w:t>
            </w:r>
          </w:p>
        </w:tc>
        <w:tc>
          <w:tcPr>
            <w:tcW w:type="dxa" w:w="2880"/>
          </w:tcPr>
          <w:p>
            <w:r>
              <w:t>Fault-injection and recovery verification</w:t>
            </w:r>
          </w:p>
        </w:tc>
      </w:tr>
    </w:tbl>
    <w:p>
      <w:r>
        <w:t>These are illustrative targets requiring business approval; they should not be invented as facts.</w:t>
      </w:r>
    </w:p>
    <w:p>
      <w:pPr>
        <w:pStyle w:val="Heading2"/>
      </w:pPr>
      <w:r>
        <w:t>How to derive traffic numbers</w:t>
      </w:r>
    </w:p>
    <w:p>
      <w:r>
        <w:t>Assume 1,000,000 active customers/day and 2 orders each: 2,000,000 orders/day. Average = 2,000,000 / 86,400 = 23.15 orders/sec. If 20% occur in the busiest hour, busiest-hour average = 111.1 orders/sec. A fivefold event surge implies approximately 555.6 orders/sec. Orders/sec is not necessarily total API requests/sec.</w:t>
      </w:r>
    </w:p>
    <w:p>
      <w:pPr>
        <w:pStyle w:val="Heading2"/>
      </w:pPr>
      <w:r>
        <w:t>How to derive latency targets</w:t>
      </w:r>
    </w:p>
    <w:p>
      <w:r>
        <w:t>Ask product owners what user experience is acceptable; measure existing baseline and competing constraints; allocate an end-to-end latency budget; validate through realistic load tests. p95 &lt;=200 ms means approximately 95% of observed requests complete within 200 ms. Summing component p95 values does not generally produce end-to-end p95.</w:t>
      </w:r>
    </w:p>
    <w:p>
      <w:pPr>
        <w:pStyle w:val="Heading1"/>
      </w:pPr>
      <w:r>
        <w:t>7. Architecture review checklist</w:t>
      </w:r>
    </w:p>
    <w:p>
      <w:pPr>
        <w:pStyle w:val="ListBullet"/>
      </w:pPr>
      <w:r>
        <w:t>Clarify traffic volume, peak distribution, request mix and growth assumptions.</w:t>
      </w:r>
    </w:p>
    <w:p>
      <w:pPr>
        <w:pStyle w:val="ListBullet"/>
      </w:pPr>
      <w:r>
        <w:t>Define acceptance, persistence and business-completion guarantees separately.</w:t>
      </w:r>
    </w:p>
    <w:p>
      <w:pPr>
        <w:pStyle w:val="ListBullet"/>
      </w:pPr>
      <w:r>
        <w:t>Identify the limiting resource with measurements before adding infrastructure.</w:t>
      </w:r>
    </w:p>
    <w:p>
      <w:pPr>
        <w:pStyle w:val="ListBullet"/>
      </w:pPr>
      <w:r>
        <w:t>Define API idempotency and consumer idempotency independently.</w:t>
      </w:r>
    </w:p>
    <w:p>
      <w:pPr>
        <w:pStyle w:val="ListBullet"/>
      </w:pPr>
      <w:r>
        <w:t>Describe crash points between Kafka, database and offset/DLT commits.</w:t>
      </w:r>
    </w:p>
    <w:p>
      <w:pPr>
        <w:pStyle w:val="ListBullet"/>
      </w:pPr>
      <w:r>
        <w:t>Specify retries, backoff, poison-message isolation and retention.</w:t>
      </w:r>
    </w:p>
    <w:p>
      <w:pPr>
        <w:pStyle w:val="ListBullet"/>
      </w:pPr>
      <w:r>
        <w:t>Define measurable SLOs, alert thresholds and verification tests.</w:t>
      </w:r>
    </w:p>
    <w:p>
      <w:pPr>
        <w:pStyle w:val="ListBullet"/>
      </w:pPr>
      <w:r>
        <w:t>Record accepted trade-offs and operational ownership.</w:t>
      </w:r>
    </w:p>
    <w:p>
      <w:pPr>
        <w:pStyle w:val="Heading1"/>
      </w:pPr>
      <w:r>
        <w:t>8. What we have not completed yet</w:t>
      </w:r>
    </w:p>
    <w:p>
      <w:pPr>
        <w:pStyle w:val="ListBullet"/>
      </w:pPr>
      <w:r>
        <w:t>Exercise: 600,000 daily orders, 30% during the busiest two hours. Derive orders/sec (answer: 25 orders/sec, before surge margin).</w:t>
      </w:r>
    </w:p>
    <w:p>
      <w:pPr>
        <w:pStyle w:val="ListBullet"/>
      </w:pPr>
      <w:r>
        <w:t>Negotiate latency SLOs when business does not provide numeric targets.</w:t>
      </w:r>
    </w:p>
    <w:p>
      <w:pPr>
        <w:pStyle w:val="ListBullet"/>
      </w:pPr>
      <w:r>
        <w:t>Design and benchmark a URL shortener (original Day 1 planned exercise).</w:t>
      </w:r>
    </w:p>
    <w:p>
      <w:pPr>
        <w:pStyle w:val="ListBullet"/>
      </w:pPr>
      <w:r>
        <w:t>Explore availability budgets, RTO/RPO, load-test methodology and architecture decision records.</w:t>
      </w:r>
    </w:p>
    <w:p>
      <w:r>
        <w:t>Key takeaway: architecture is not a list of technologies. It is a set of explicit, measurable guarantees and informed trade-offs under real-world failure conditions.</w:t>
      </w:r>
    </w:p>
    <w:sectPr w:rsidR="00FC693F" w:rsidRPr="0006063C" w:rsidSect="00034616">
      <w:pgSz w:w="12240" w:h="15840"/>
      <w:pgMar w:top="1080"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4063"/>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84063"/>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84063"/>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