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Shrishti Maheshwari</w:t>
      </w:r>
    </w:p>
    <w:p w:rsidR="00000000" w:rsidDel="00000000" w:rsidP="00000000" w:rsidRDefault="00000000" w:rsidRPr="00000000" w14:paraId="00000002">
      <w:pPr>
        <w:rPr/>
      </w:pPr>
      <w:r w:rsidDel="00000000" w:rsidR="00000000" w:rsidRPr="00000000">
        <w:rPr>
          <w:rtl w:val="0"/>
        </w:rPr>
        <w:t xml:space="preserve">AU2020137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Lab Report 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The idea of taking control of one's own actions and exerting influence over them in order to change external happenings is referred to as a sense of agency. One such statistic employed in research on the sensation of agency is intentional binding, or the decrease of perceived delay between an action and its effect. A number of paradigms have been used to measure intentional binding. Deliberate binding means an automatic deepening of connection with more frequent and repeated operant encounters. This finding lends credence to the notion that automatic associative learning processes serve as a link between higher level explicit elements of sense of agency and deliberate binding.</w:t>
      </w:r>
    </w:p>
    <w:p w:rsidR="00000000" w:rsidDel="00000000" w:rsidP="00000000" w:rsidRDefault="00000000" w:rsidRPr="00000000" w14:paraId="00000009">
      <w:pPr>
        <w:rPr/>
      </w:pPr>
      <w:r w:rsidDel="00000000" w:rsidR="00000000" w:rsidRPr="00000000">
        <w:rPr>
          <w:rtl w:val="0"/>
        </w:rPr>
        <w:t xml:space="preserve">Action-outcome The source of agency, or the feeling that one is in charge of beginning events and acts, is congruence. Intentional binding, defined as the compression of perceived time between action and consequence, is a sign of agency.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Method:</w:t>
      </w:r>
    </w:p>
    <w:p w:rsidR="00000000" w:rsidDel="00000000" w:rsidP="00000000" w:rsidRDefault="00000000" w:rsidRPr="00000000" w14:paraId="0000000D">
      <w:pPr>
        <w:rPr/>
      </w:pPr>
      <w:r w:rsidDel="00000000" w:rsidR="00000000" w:rsidRPr="00000000">
        <w:rPr>
          <w:rtl w:val="0"/>
        </w:rPr>
        <w:t xml:space="preserve">The participant is then informed of the following phase's decision to push the key or not. As a consequence, we generate a second circular polygon with the same proportions as the first, but with the original's shade altered to green (starts at 1 sec with infinite duration). The third step should contain a keyboard response for participants to react to. When the circle becomes green after one second, push the "spacebar." The following step is to build a new routine named "beep," in which we add a beep sound stimulus and set the start time as "$delay" and the sound frequency as "$freq" on every repeat for 0.3 seconds before uploading the completed excel file. We asked them to rate the delay on a scale of 0-999 as part of our instructions. The button react is then included, allowing participants to submit their responses.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Results</w:t>
      </w:r>
    </w:p>
    <w:p w:rsidR="00000000" w:rsidDel="00000000" w:rsidP="00000000" w:rsidRDefault="00000000" w:rsidRPr="00000000" w14:paraId="00000010">
      <w:pPr>
        <w:rPr/>
      </w:pPr>
      <w:r w:rsidDel="00000000" w:rsidR="00000000" w:rsidRPr="00000000">
        <w:rPr>
          <w:rtl w:val="0"/>
        </w:rPr>
        <w:t xml:space="preserve">The predicted condition had a mean of 65, whereas the unexpected condition had a mean of 35.3.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Discussion:</w:t>
      </w:r>
    </w:p>
    <w:p w:rsidR="00000000" w:rsidDel="00000000" w:rsidP="00000000" w:rsidRDefault="00000000" w:rsidRPr="00000000" w14:paraId="00000014">
      <w:pPr>
        <w:rPr/>
      </w:pPr>
      <w:r w:rsidDel="00000000" w:rsidR="00000000" w:rsidRPr="00000000">
        <w:rPr>
          <w:rtl w:val="0"/>
        </w:rPr>
        <w:t xml:space="preserve">The sensation of control over your life, the ability to mold your own thoughts and activities, and the confidence in your skills to confront a range of difficulties and circumstances are all examples of agency. Your feeling of agency allows you to retain psychological stability while adapting to change or conflict. Your personal power and ability to shape the future are referred to as your agency. Implicit measurements generate judgments about the agentic experience based on an assessment of a correlate of voluntary behavior. In these paradigms, no one is ever directly questioned about their agentic experience. Intentional binding is most likely the most commonly used implicit measure for agency. According to studies on schizophrenia patients, these people struggle with agency. The sense of agency is strongly linked. The capacity to forecast, manage, and monitor one's behavior; most research suggests that having more control is related with a greater sense of agency.</w:t>
      </w:r>
    </w:p>
    <w:p w:rsidR="00000000" w:rsidDel="00000000" w:rsidP="00000000" w:rsidRDefault="00000000" w:rsidRPr="00000000" w14:paraId="00000015">
      <w:pPr>
        <w:rPr/>
      </w:pPr>
      <w:r w:rsidDel="00000000" w:rsidR="00000000" w:rsidRPr="00000000">
        <w:rPr>
          <w:rtl w:val="0"/>
        </w:rPr>
        <w:t xml:space="preserve">The sensation of control over your life, the ability to mold your own thoughts and activities, and the confidence in your skills to confront a range of difficulties and circumstances are all examples of agency. Your feeling of agency allows you to retain psychological stability while adapting to change or conflict.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Githublink: </w:t>
      </w:r>
      <w:hyperlink r:id="rId6">
        <w:r w:rsidDel="00000000" w:rsidR="00000000" w:rsidRPr="00000000">
          <w:rPr>
            <w:color w:val="1155cc"/>
            <w:u w:val="single"/>
            <w:rtl w:val="0"/>
          </w:rPr>
          <w:t xml:space="preserve">https://github.com/ShrishtiMaheshwarii/practise#practise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rishtiMaheshwarii/practise#pract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