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CustomerBound AI</w:t>
      </w:r>
    </w:p>
    <w:p>
      <w:pPr>
        <w:spacing w:after="40"/>
      </w:pPr>
      <w:r>
        <w:rPr>
          <w:b/>
          <w:color w:val="2463A6"/>
          <w:sz w:val="26"/>
        </w:rPr>
        <w:t>A Named User Agent Experience for Salesforce</w:t>
      </w:r>
    </w:p>
    <w:p>
      <w:pPr>
        <w:spacing w:after="60"/>
      </w:pPr>
      <w:r>
        <w:rPr>
          <w:b/>
          <w:color w:val="C24E00"/>
          <w:sz w:val="22"/>
        </w:rPr>
        <w:t>Proof of Concept Executive Summary and Approval Request</w:t>
      </w:r>
    </w:p>
    <w:p>
      <w:pPr>
        <w:spacing w:after="160"/>
      </w:pPr>
      <w:r>
        <w:rPr>
          <w:color w:val="5C6370"/>
          <w:sz w:val="18"/>
        </w:rPr>
        <w:t>Prepared for project sponsors and decision makers</w:t>
        <w:br/>
        <w:t>15 September 2026</w:t>
      </w:r>
    </w:p>
    <w:p>
      <w:pPr>
        <w:pStyle w:val="Heading1"/>
        <w:keepNext/>
      </w:pPr>
      <w:r>
        <w:t>Decision requested</w:t>
      </w:r>
    </w:p>
    <w:p>
      <w:r>
        <w:rPr>
          <w:b/>
        </w:rPr>
        <w:t xml:space="preserve">Approve a focused production-readiness phase </w:t>
      </w:r>
      <w:r>
        <w:t>for CustomerBound AI. The proposed phase will preserve the verified named-user security model while adding production identity, durable hosting, multi-user validation, and licensing confirmation. Approval covers design and controlled validation, not production rollout or procurement.</w:t>
      </w:r>
    </w:p>
    <w:p>
      <w:pPr>
        <w:pStyle w:val="Heading1"/>
        <w:keepNext/>
      </w:pPr>
      <w:r>
        <w:t>Executive summary</w:t>
      </w:r>
    </w:p>
    <w:p>
      <w:r>
        <w:t>CustomerBound AI demonstrates a secure pattern for bringing Salesforce experiences into AI assistants without giving the assistant a broadly privileged integration identity. A compatible host can render a live Salesforce-defined experience, retrieve protected customer data, and invoke permitted business actions as one authenticated external user.</w:t>
      </w:r>
    </w:p>
    <w:p>
      <w:r>
        <w:t>Identity and authorization remain anchored in Salesforce. The AI-facing MCP server stores no Salesforce credential, the identity layer retains the named-user token, and Apex derives the customer context from that token. Salesforce permissions, sharing, and business rules determine what the session can see and do, including when a prompt requests another user's record or attempts an unrestricted search.</w:t>
      </w:r>
    </w:p>
    <w:p>
      <w:r>
        <w:t>The POC validates a reusable architecture rather than a single channel or business process. The same experience definition and MCP capability layer can support local and hosted AI surfaces without duplicating channel-specific business logic.</w:t>
      </w:r>
    </w:p>
    <w:p>
      <w:pPr>
        <w:pStyle w:val="Heading1"/>
        <w:keepNext/>
      </w:pPr>
      <w:r>
        <w:t>The 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Solution component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Role in the architecture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Headless identity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Establishes a named external-user session while keeping the Salesforce token outside the model, chat transcript, and browser-rendered experience.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Headless experience layer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Defines the interface once in Salesforce and renders it as an interactive card in compatible AI hosts.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MCP capability layer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Exposes eight focused capabilities for sign-in, sign-out, identity inspection, retrieval, search, creation, and permitted updates.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Salesforce enforcement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Uses record sharing, user-mode data access, field permissions, Apex rules, and user-context writes as the authorization boundary.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Channel-aware audit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Records the authenticated owner and originating channel for governed write-back and traceability.</w:t>
            </w:r>
          </w:p>
        </w:tc>
      </w:tr>
    </w:tbl>
    <w:p>
      <w:pPr>
        <w:pStyle w:val="Heading1"/>
        <w:keepNext/>
      </w:pPr>
      <w:r>
        <w:t>Verified POC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Verified capability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POC evidence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Live host experience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Claude Desktop renders the deployed Salesforce experience and exposes its tools and actions.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Named-user context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Apex derives the external-user relationship from the Salesforce token; the model never supplies an owner or customer identifier.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Platform-enforced isolation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Direct requests for another user's record are denied, and deliberately broad searches return only records visible through Salesforce sharing.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Prompt containment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Authorization remains effective even when a request attempts to bypass application filtering or broaden the search scope.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Governed write-back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Create and update actions execute in user context and remain subject to record visibility, field permissions, and business rules.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Auditable actions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Salesforce records ownership and source-channel values independently of model-provided content.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Reusable transport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One implementation supports local stdio and hosted Streamable HTTP paths without duplicating business logic.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Safe session handling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Hosted sessions cannot inherit a local user by default; diagnostic session data exposes metadata rather than tokens.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Resilient experience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The card presents a clear signed-out or sample state if identity services are unavailable instead of failing silently.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Deployment validation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The Salesforce bundle, schema, Apex behavior, and hosted endpoint flow have been deployed or smoke-tested in the POC environment.</w:t>
            </w:r>
          </w:p>
        </w:tc>
      </w:tr>
    </w:tbl>
    <w:p>
      <w:pPr>
        <w:pStyle w:val="Heading1"/>
        <w:keepNext/>
      </w:pPr>
      <w:r>
        <w:t>Channel and host readiness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Readiness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Claude Desktop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Live rendering, identity, retrieval, and actions verified.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Hosted MCP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Secure HTTPS paths and end-to-end connectivity verified through the POC tunnel.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ChatGPT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Endpoint prepared; live custom connection depends on account access to custom MCP developer features.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Slack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Workspace app and endpoint configuration completed; AI host availability is determined by the selected workspace plan.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Additional hosts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The transport and experience pattern are designed for reuse where the host supports MCP and interactive experiences.</w:t>
            </w:r>
          </w:p>
        </w:tc>
      </w:tr>
    </w:tbl>
    <w:p>
      <w:pPr>
        <w:pStyle w:val="Heading1"/>
        <w:keepNext/>
      </w:pPr>
      <w:r>
        <w:t>Business value</w:t>
      </w:r>
    </w:p>
    <w:p>
      <w:pPr>
        <w:pStyle w:val="ListBullet"/>
        <w:spacing w:after="60"/>
      </w:pPr>
      <w:r>
        <w:rPr>
          <w:b/>
        </w:rPr>
        <w:t>Safer AI access:</w:t>
      </w:r>
      <w:r>
        <w:t xml:space="preserve"> customer-facing assistants operate with the same Salesforce access boundaries as the authenticated user.</w:t>
      </w:r>
    </w:p>
    <w:p>
      <w:pPr>
        <w:pStyle w:val="ListBullet"/>
        <w:spacing w:after="60"/>
      </w:pPr>
      <w:r>
        <w:rPr>
          <w:b/>
        </w:rPr>
        <w:t>Reusable experience investment:</w:t>
      </w:r>
      <w:r>
        <w:t xml:space="preserve"> one Salesforce-defined interaction can be presented across supported AI channels.</w:t>
      </w:r>
    </w:p>
    <w:p>
      <w:pPr>
        <w:pStyle w:val="ListBullet"/>
        <w:spacing w:after="60"/>
      </w:pPr>
      <w:r>
        <w:rPr>
          <w:b/>
        </w:rPr>
        <w:t>Governed automation:</w:t>
      </w:r>
      <w:r>
        <w:t xml:space="preserve"> business actions preserve sharing, permissions, validation, and audit controls.</w:t>
      </w:r>
    </w:p>
    <w:p>
      <w:pPr>
        <w:pStyle w:val="ListBullet"/>
        <w:spacing w:after="60"/>
      </w:pPr>
      <w:r>
        <w:rPr>
          <w:b/>
        </w:rPr>
        <w:t>Faster channel expansion:</w:t>
      </w:r>
      <w:r>
        <w:t xml:space="preserve"> identity, capability, and business logic remain centralized instead of being rebuilt for every host.</w:t>
      </w:r>
    </w:p>
    <w:p>
      <w:pPr>
        <w:pStyle w:val="ListBullet"/>
        <w:spacing w:after="60"/>
      </w:pPr>
      <w:r>
        <w:rPr>
          <w:b/>
        </w:rPr>
        <w:t>Clear accountability:</w:t>
      </w:r>
      <w:r>
        <w:t xml:space="preserve"> session identity and channel metadata support operational review and compliance evidence.</w:t>
      </w:r>
    </w:p>
    <w:p>
      <w:pPr>
        <w:pStyle w:val="Heading1"/>
        <w:keepNext/>
      </w:pPr>
      <w:r>
        <w:t>Production-readiness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17233C"/>
          </w:tcPr>
          <w:p>
            <w:pPr>
              <w:keepLines/>
              <w:spacing w:after="0" w:line="240" w:lineRule="auto"/>
            </w:pPr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Production identity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Replace local POC credential configuration with MCP OAuth so authentication completes without exposing a password to the model or transcript.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Durable hosting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Move from in-memory sessions and a rotating test tunnel to stable secured hosting with durable session storage and operational monitoring.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Multi-user validation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Run isolated sessions for at least two named external users and repeat direct-access, broad-search, and action tests.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Identity journeys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Validate registration, passwordless access, and recovery using the appropriate first-party client attestation and endpoint trust configuration.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Licensing confirmation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</w:tcPr>
          <w:p>
            <w:pPr>
              <w:keepLines/>
              <w:spacing w:after="0" w:line="240" w:lineRule="auto"/>
            </w:pPr>
            <w:r>
              <w:t>Confirm the intended Experience Cloud and API access model with Salesforce before commercial use.</w:t>
            </w:r>
          </w:p>
        </w:tc>
      </w:tr>
      <w:tr>
        <w:tc>
          <w:tcPr>
            <w:tcW w:type="dxa" w:w="256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Hosted surface selection</w:t>
            </w:r>
          </w:p>
        </w:tc>
        <w:tc>
          <w:tcPr>
            <w:tcW w:type="dxa" w:w="71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shd w:fill="F3F6FA"/>
          </w:tcPr>
          <w:p>
            <w:pPr>
              <w:keepLines/>
              <w:spacing w:after="0" w:line="240" w:lineRule="auto"/>
            </w:pPr>
            <w:r>
              <w:t>Choose the next supported host based on plan availability, then verify rendering, actions, and audit evidence.</w:t>
            </w:r>
          </w:p>
        </w:tc>
      </w:tr>
    </w:tbl>
    <w:p>
      <w:pPr>
        <w:pStyle w:val="Heading1"/>
        <w:keepNext/>
      </w:pPr>
      <w:r>
        <w:t>Proposed next phase</w:t>
      </w:r>
    </w:p>
    <w:p>
      <w:pPr>
        <w:pStyle w:val="ListBullet"/>
        <w:spacing w:after="60"/>
      </w:pPr>
      <w:r>
        <w:t>Document the production identity and trust design, including OAuth flows, token boundaries, logout, expiry, and recovery.</w:t>
      </w:r>
    </w:p>
    <w:p>
      <w:pPr>
        <w:pStyle w:val="ListBullet"/>
        <w:spacing w:after="60"/>
      </w:pPr>
      <w:r>
        <w:t>Deploy a stable non-production endpoint with durable sessions, secrets management, logging, and monitoring.</w:t>
      </w:r>
    </w:p>
    <w:p>
      <w:pPr>
        <w:pStyle w:val="ListBullet"/>
        <w:spacing w:after="60"/>
      </w:pPr>
      <w:r>
        <w:t>Complete the second-user security proof and retain screenshots, logs, and Salesforce audit evidence.</w:t>
      </w:r>
    </w:p>
    <w:p>
      <w:pPr>
        <w:pStyle w:val="ListBullet"/>
        <w:spacing w:after="60"/>
      </w:pPr>
      <w:r>
        <w:t>Validate one hosted AI surface from authentication through protected retrieval and governed write-back.</w:t>
      </w:r>
    </w:p>
    <w:p>
      <w:pPr>
        <w:pStyle w:val="ListBullet"/>
        <w:spacing w:after="60"/>
      </w:pPr>
      <w:r>
        <w:t>Obtain written guidance on licensing and capture the approved operating model and rollout assumptions.</w:t>
      </w:r>
    </w:p>
    <w:p>
      <w:pPr>
        <w:pStyle w:val="Heading1"/>
        <w:keepNext/>
      </w:pPr>
      <w:r>
        <w:t>Success criteria</w:t>
      </w:r>
    </w:p>
    <w:p>
      <w:pPr>
        <w:pStyle w:val="ListBullet"/>
        <w:spacing w:after="60"/>
      </w:pPr>
      <w:r>
        <w:t>Separate named-user sessions reveal only the Salesforce data and actions permitted to each authenticated user.</w:t>
      </w:r>
    </w:p>
    <w:p>
      <w:pPr>
        <w:pStyle w:val="ListBullet"/>
        <w:spacing w:after="60"/>
      </w:pPr>
      <w:r>
        <w:t>Cross-user requests and broad searches remain constrained by Salesforce sharing without relying on an application owner filter.</w:t>
      </w:r>
    </w:p>
    <w:p>
      <w:pPr>
        <w:pStyle w:val="ListBullet"/>
        <w:spacing w:after="60"/>
      </w:pPr>
      <w:r>
        <w:t>Authentication completes through MCP OAuth without passwords or Salesforce tokens appearing in the model, transcript, or client UI.</w:t>
      </w:r>
    </w:p>
    <w:p>
      <w:pPr>
        <w:pStyle w:val="ListBullet"/>
        <w:spacing w:after="60"/>
      </w:pPr>
      <w:r>
        <w:t>Permitted business actions produce the correct Salesforce owner, channel audit values, and business-rule outcomes.</w:t>
      </w:r>
    </w:p>
    <w:p>
      <w:pPr>
        <w:pStyle w:val="ListBullet"/>
        <w:spacing w:after="60"/>
      </w:pPr>
      <w:r>
        <w:t>The selected hosted surface completes an end-to-end demonstration on stable infrastructure.</w:t>
      </w:r>
    </w:p>
    <w:p>
      <w:pPr>
        <w:pStyle w:val="ListBullet"/>
        <w:spacing w:after="60"/>
      </w:pPr>
      <w:r>
        <w:t>Salesforce confirms the licensing assumptions required for the intended use case.</w:t>
      </w:r>
    </w:p>
    <w:p>
      <w:pPr>
        <w:pStyle w:val="Heading1"/>
        <w:keepNext/>
      </w:pPr>
      <w:r>
        <w:t>Approval</w:t>
      </w:r>
    </w:p>
    <w:p>
      <w:pPr>
        <w:spacing w:after="120"/>
      </w:pPr>
      <w:r>
        <w:rPr>
          <w:b/>
        </w:rPr>
        <w:t xml:space="preserve">Decision  </w:t>
      </w:r>
      <w:r>
        <w:t>[  ] Approve       [  ] Approve with conditions       [  ] Defer</w:t>
      </w:r>
    </w:p>
    <w:p>
      <w:pPr>
        <w:spacing w:after="120"/>
      </w:pPr>
      <w:r>
        <w:rPr>
          <w:b/>
        </w:rPr>
        <w:t xml:space="preserve">Conditions or comments  </w:t>
      </w:r>
      <w:r>
        <w:t>________________________________________________________</w:t>
      </w:r>
    </w:p>
    <w:p>
      <w:pPr>
        <w:spacing w:before="160"/>
      </w:pPr>
      <w:r>
        <w:rPr>
          <w:b/>
        </w:rPr>
        <w:t xml:space="preserve">Approver name  </w:t>
      </w:r>
      <w:r>
        <w:t>__________________________________</w:t>
      </w:r>
      <w:r>
        <w:rPr>
          <w:b/>
        </w:rPr>
        <w:t xml:space="preserve">    Date  </w:t>
      </w:r>
      <w:r>
        <w:t>________________</w:t>
      </w:r>
    </w:p>
    <w:sectPr w:rsidR="00FC693F" w:rsidRPr="0006063C" w:rsidSect="00034616">
      <w:pgSz w:w="12240" w:h="15840"/>
      <w:pgMar w:top="893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color w:val="1F23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CustomerBound AI</dc:title>
  <dc:subject>Proof of Concept Executive Summary and Approval Request</dc:subject>
  <dc:creator>CustomerBound AI POC Team</dc:creator>
  <cp:keywords>CustomerBound AI, Salesforce, MCP, named user, proof of concept, approval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