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HXL Named User Agent Experience Proof of Concept</w:t>
      </w:r>
    </w:p>
    <w:p>
      <w:pPr>
        <w:spacing w:after="80"/>
      </w:pPr>
      <w:r>
        <w:rPr>
          <w:b/>
          <w:color w:val="C24E00"/>
          <w:sz w:val="26"/>
        </w:rPr>
        <w:t>Executive summary and approval request</w:t>
      </w:r>
    </w:p>
    <w:p>
      <w:pPr>
        <w:spacing w:after="240"/>
      </w:pPr>
      <w:r>
        <w:rPr>
          <w:color w:val="666666"/>
          <w:sz w:val="19"/>
        </w:rPr>
        <w:t>Prepared for project sponsors and decision makers</w:t>
      </w:r>
      <w:r>
        <w:rPr>
          <w:color w:val="666666"/>
        </w:rPr>
        <w:br/>
        <w:t>14 September 2026</w:t>
      </w:r>
    </w:p>
    <w:p>
      <w:pPr>
        <w:pStyle w:val="Heading1"/>
        <w:keepNext/>
      </w:pPr>
      <w:r>
        <w:t>Decision requested</w:t>
      </w:r>
    </w:p>
    <w:p>
      <w:r>
        <w:rPr>
          <w:b/>
        </w:rPr>
        <w:t xml:space="preserve">Approve a focused next phase </w:t>
      </w:r>
      <w:r>
        <w:t>to move the verified proof of concept toward a production-ready design. The next phase should confirm licensing, replace the POC credential flow with MCP OAuth, add a second customer identity, and validate one hosted MCP surface. This approval does not authorize a production launch or a paid Slack upgrade.</w:t>
      </w:r>
    </w:p>
    <w:p>
      <w:pPr>
        <w:pStyle w:val="Heading1"/>
        <w:keepNext/>
      </w:pPr>
      <w:r>
        <w:t>Executive conclusion</w:t>
      </w:r>
    </w:p>
    <w:p>
      <w:r>
        <w:t>The POC demonstrates that an AI assistant can render Salesforce order data and perform customer actions as one named external user without inheriting a broad integration account. Claude Desktop now renders the live HXL order card, reads Ada Lovelace's Salesforce orders, and invokes the available actions. Salesforce sharing prevents that session from accessing another customer's order even when the request asks for a specific order number or attempts an unfiltered search.</w:t>
      </w:r>
    </w:p>
    <w:p>
      <w:r>
        <w:t>The result validates the core architecture: the AI-facing MCP server holds no Salesforce credential, the identity layer retains the named-user token, and Salesforce permissions and sharing remain the authorization boundary. The remaining work concerns production identity, durable hosting, second-user validation, and licensing rather than rebuilding the user experience for each channel.</w:t>
      </w:r>
    </w:p>
    <w:p>
      <w:pPr>
        <w:pStyle w:val="Heading1"/>
        <w:keepNext/>
      </w:pPr>
      <w:r>
        <w:t>What the POC proves</w:t>
      </w:r>
    </w:p>
    <w:tbl>
      <w:tblPr>
        <w:tblW w:type="auto" w:w="0"/>
        <w:jc w:val="center"/>
        <w:tblLayout w:type="fixed"/>
        <w:tblLook w:firstColumn="1" w:firstRow="1" w:lastColumn="0" w:lastRow="0" w:noHBand="0" w:noVBand="1" w:val="04A0"/>
      </w:tblPr>
      <w:tblGrid>
        <w:gridCol w:w="4939"/>
        <w:gridCol w:w="4939"/>
      </w:tblGrid>
      <w:tr>
        <w:tc>
          <w:tcPr>
            <w:tcW w:type="dxa" w:w="237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233C"/>
          </w:tcPr>
          <w:p>
            <w:pPr>
              <w:spacing w:after="0" w:line="252" w:lineRule="auto"/>
            </w:pPr>
            <w:r>
              <w:rPr>
                <w:b/>
                <w:color w:val="FFFFFF"/>
              </w:rPr>
              <w:t>Verified capability</w:t>
            </w:r>
          </w:p>
        </w:tc>
        <w:tc>
          <w:tcPr>
            <w:tcW w:type="dxa" w:w="734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233C"/>
          </w:tcPr>
          <w:p>
            <w:pPr>
              <w:spacing w:after="0" w:line="252" w:lineRule="auto"/>
            </w:pPr>
            <w:r>
              <w:rPr>
                <w:b/>
                <w:color w:val="FFFFFF"/>
              </w:rPr>
              <w:t>Evidence</w:t>
            </w:r>
          </w:p>
        </w:tc>
      </w:tr>
      <w:tr>
        <w:tc>
          <w:tcPr>
            <w:tcW w:type="dxa" w:w="237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t>Real host experience</w:t>
            </w:r>
          </w:p>
        </w:tc>
        <w:tc>
          <w:tcPr>
            <w:tcW w:type="dxa" w:w="734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t>Claude Desktop renders the live HXL order card and exposes its tools and actions.</w:t>
            </w:r>
          </w:p>
        </w:tc>
      </w:tr>
      <w:tr>
        <w:tc>
          <w:tcPr>
            <w:tcW w:type="dxa" w:w="237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8"/>
          </w:tcPr>
          <w:p>
            <w:pPr>
              <w:spacing w:after="0" w:line="252" w:lineRule="auto"/>
            </w:pPr>
            <w:r>
              <w:t>Named user identity</w:t>
            </w:r>
          </w:p>
        </w:tc>
        <w:tc>
          <w:tcPr>
            <w:tcW w:type="dxa" w:w="734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8"/>
          </w:tcPr>
          <w:p>
            <w:pPr>
              <w:spacing w:after="0" w:line="252" w:lineRule="auto"/>
            </w:pPr>
            <w:r>
              <w:t>Apex derives the customer Contact from the Salesforce token. The model does not provide a Contact ID.</w:t>
            </w:r>
          </w:p>
        </w:tc>
      </w:tr>
      <w:tr>
        <w:tc>
          <w:tcPr>
            <w:tcW w:type="dxa" w:w="237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t>Platform enforced isolation</w:t>
            </w:r>
          </w:p>
        </w:tc>
        <w:tc>
          <w:tcPr>
            <w:tcW w:type="dxa" w:w="734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t>Ada cannot retrieve Grace Hopper's ORD-00003. An intentionally unfiltered order search still returns only Ada's visible records.</w:t>
            </w:r>
          </w:p>
        </w:tc>
      </w:tr>
      <w:tr>
        <w:tc>
          <w:tcPr>
            <w:tcW w:type="dxa" w:w="237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8"/>
          </w:tcPr>
          <w:p>
            <w:pPr>
              <w:spacing w:after="0" w:line="252" w:lineRule="auto"/>
            </w:pPr>
            <w:r>
              <w:t>Customer write back</w:t>
            </w:r>
          </w:p>
        </w:tc>
        <w:tc>
          <w:tcPr>
            <w:tcW w:type="dxa" w:w="734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8"/>
          </w:tcPr>
          <w:p>
            <w:pPr>
              <w:spacing w:after="0" w:line="252" w:lineRule="auto"/>
            </w:pPr>
            <w:r>
              <w:t>Orders can be created or cancelled from the agent experience under the named customer's access and business rules.</w:t>
            </w:r>
          </w:p>
        </w:tc>
      </w:tr>
      <w:tr>
        <w:tc>
          <w:tcPr>
            <w:tcW w:type="dxa" w:w="237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t>Auditability</w:t>
            </w:r>
          </w:p>
        </w:tc>
        <w:tc>
          <w:tcPr>
            <w:tcW w:type="dxa" w:w="734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t>Salesforce records the customer owner and the source channel for each write.</w:t>
            </w:r>
          </w:p>
        </w:tc>
      </w:tr>
      <w:tr>
        <w:tc>
          <w:tcPr>
            <w:tcW w:type="dxa" w:w="237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8"/>
          </w:tcPr>
          <w:p>
            <w:pPr>
              <w:spacing w:after="0" w:line="252" w:lineRule="auto"/>
            </w:pPr>
            <w:r>
              <w:t>Reusable transport</w:t>
            </w:r>
          </w:p>
        </w:tc>
        <w:tc>
          <w:tcPr>
            <w:tcW w:type="dxa" w:w="734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8"/>
          </w:tcPr>
          <w:p>
            <w:pPr>
              <w:spacing w:after="0" w:line="252" w:lineRule="auto"/>
            </w:pPr>
            <w:r>
              <w:t>The same MCP implementation supports local stdio and hosted HTTPS paths without channel-specific business logic.</w:t>
            </w:r>
          </w:p>
        </w:tc>
      </w:tr>
    </w:tbl>
    <w:p>
      <w:pPr>
        <w:pStyle w:val="Heading1"/>
        <w:keepNext/>
      </w:pPr>
      <w:r>
        <w:t>Current constraints</w:t>
      </w:r>
    </w:p>
    <w:p>
      <w:pPr>
        <w:pStyle w:val="ListBullet"/>
        <w:spacing w:after="80"/>
      </w:pPr>
      <w:r>
        <w:t>The local POC supplies a customer password to the MCP process. Production should use MCP OAuth so credentials never pass through the model.</w:t>
      </w:r>
    </w:p>
    <w:p>
      <w:pPr>
        <w:pStyle w:val="ListBullet"/>
        <w:spacing w:after="80"/>
      </w:pPr>
      <w:r>
        <w:t>Sessions are held in memory, and hosted tests use a rotating public tunnel. Production requires durable session storage and a stable secured endpoint.</w:t>
      </w:r>
    </w:p>
    <w:p>
      <w:pPr>
        <w:pStyle w:val="ListBullet"/>
        <w:spacing w:after="80"/>
      </w:pPr>
      <w:r>
        <w:t>Registration, Passwordless Login, and Forgot Password are implemented but blocked at the Salesforce site's init endpoint. The proposed next test uses first-party client attestation.</w:t>
      </w:r>
    </w:p>
    <w:p>
      <w:pPr>
        <w:pStyle w:val="ListBullet"/>
        <w:spacing w:after="80"/>
      </w:pPr>
      <w:r>
        <w:t>Experience Cloud and API licensing must be confirmed with Salesforce before commercial reliance.</w:t>
      </w:r>
    </w:p>
    <w:p>
      <w:pPr>
        <w:pStyle w:val="ListBullet"/>
        <w:spacing w:after="80"/>
      </w:pPr>
      <w:r>
        <w:t>Host availability varies by product plan. This ChatGPT account does not expose custom MCP Developer Mode, and Slackbot is disabled by the current Slack workspace plan.</w:t>
      </w:r>
    </w:p>
    <w:p>
      <w:pPr>
        <w:pStyle w:val="Heading1"/>
        <w:keepNext/>
      </w:pPr>
      <w:r>
        <w:t>Recommended next phase</w:t>
      </w:r>
    </w:p>
    <w:tbl>
      <w:tblPr>
        <w:tblW w:type="auto" w:w="0"/>
        <w:jc w:val="center"/>
        <w:tblLayout w:type="fixed"/>
        <w:tblLook w:firstColumn="1" w:firstRow="1" w:lastColumn="0" w:lastRow="0" w:noHBand="0" w:noVBand="1" w:val="04A0"/>
      </w:tblPr>
      <w:tblGrid>
        <w:gridCol w:w="4939"/>
        <w:gridCol w:w="4939"/>
      </w:tblGrid>
      <w:tr>
        <w:tc>
          <w:tcPr>
            <w:tcW w:type="dxa" w:w="237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233C"/>
          </w:tcPr>
          <w:p>
            <w:pPr>
              <w:spacing w:after="0" w:line="252" w:lineRule="auto"/>
            </w:pPr>
            <w:r>
              <w:rPr>
                <w:b/>
                <w:color w:val="FFFFFF"/>
              </w:rPr>
              <w:t>Workstream</w:t>
            </w:r>
          </w:p>
        </w:tc>
        <w:tc>
          <w:tcPr>
            <w:tcW w:type="dxa" w:w="734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233C"/>
          </w:tcPr>
          <w:p>
            <w:pPr>
              <w:spacing w:after="0" w:line="252" w:lineRule="auto"/>
            </w:pPr>
            <w:r>
              <w:rPr>
                <w:b/>
                <w:color w:val="FFFFFF"/>
              </w:rPr>
              <w:t>Expected outcome</w:t>
            </w:r>
          </w:p>
        </w:tc>
      </w:tr>
      <w:tr>
        <w:tc>
          <w:tcPr>
            <w:tcW w:type="dxa" w:w="237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t>Licensing confirmation</w:t>
            </w:r>
          </w:p>
        </w:tc>
        <w:tc>
          <w:tcPr>
            <w:tcW w:type="dxa" w:w="734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t>Confirm the permitted Experience Cloud and API access model with Salesforce.</w:t>
            </w:r>
          </w:p>
        </w:tc>
      </w:tr>
      <w:tr>
        <w:tc>
          <w:tcPr>
            <w:tcW w:type="dxa" w:w="237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8"/>
          </w:tcPr>
          <w:p>
            <w:pPr>
              <w:spacing w:after="0" w:line="252" w:lineRule="auto"/>
            </w:pPr>
            <w:r>
              <w:t>Production identity</w:t>
            </w:r>
          </w:p>
        </w:tc>
        <w:tc>
          <w:tcPr>
            <w:tcW w:type="dxa" w:w="734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8"/>
          </w:tcPr>
          <w:p>
            <w:pPr>
              <w:spacing w:after="0" w:line="252" w:lineRule="auto"/>
            </w:pPr>
            <w:r>
              <w:t>Design and test MCP OAuth with the identity layer as the authorization server.</w:t>
            </w:r>
          </w:p>
        </w:tc>
      </w:tr>
      <w:tr>
        <w:tc>
          <w:tcPr>
            <w:tcW w:type="dxa" w:w="237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t>Second customer proof</w:t>
            </w:r>
          </w:p>
        </w:tc>
        <w:tc>
          <w:tcPr>
            <w:tcW w:type="dxa" w:w="734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t>Create a second external identity and repeat the cross-customer denial test in separate sessions.</w:t>
            </w:r>
          </w:p>
        </w:tc>
      </w:tr>
      <w:tr>
        <w:tc>
          <w:tcPr>
            <w:tcW w:type="dxa" w:w="237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8"/>
          </w:tcPr>
          <w:p>
            <w:pPr>
              <w:spacing w:after="0" w:line="252" w:lineRule="auto"/>
            </w:pPr>
            <w:r>
              <w:t>Hosted deployment</w:t>
            </w:r>
          </w:p>
        </w:tc>
        <w:tc>
          <w:tcPr>
            <w:tcW w:type="dxa" w:w="734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8"/>
          </w:tcPr>
          <w:p>
            <w:pPr>
              <w:spacing w:after="0" w:line="252" w:lineRule="auto"/>
            </w:pPr>
            <w:r>
              <w:t>Replace the rotating tunnel and in-memory sessions with a stable secured endpoint and durable session storage.</w:t>
            </w:r>
          </w:p>
        </w:tc>
      </w:tr>
      <w:tr>
        <w:tc>
          <w:tcPr>
            <w:tcW w:type="dxa" w:w="237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t>Hosted host validation</w:t>
            </w:r>
          </w:p>
        </w:tc>
        <w:tc>
          <w:tcPr>
            <w:tcW w:type="dxa" w:w="734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t>Select one supported host after checking account and workspace plan requirements, then verify rendering, actions, and audit records.</w:t>
            </w:r>
          </w:p>
        </w:tc>
      </w:tr>
    </w:tbl>
    <w:p>
      <w:pPr>
        <w:pStyle w:val="Heading1"/>
        <w:keepNext/>
      </w:pPr>
      <w:r>
        <w:t>Success criteria</w:t>
      </w:r>
    </w:p>
    <w:p>
      <w:pPr>
        <w:pStyle w:val="ListBullet"/>
        <w:spacing w:after="80"/>
      </w:pPr>
      <w:r>
        <w:t>Two named customers receive separate sessions and see only their own Salesforce records.</w:t>
      </w:r>
    </w:p>
    <w:p>
      <w:pPr>
        <w:pStyle w:val="ListBullet"/>
        <w:spacing w:after="80"/>
      </w:pPr>
      <w:r>
        <w:t>A cross-customer request fails because of Salesforce sharing without an application owner filter.</w:t>
      </w:r>
    </w:p>
    <w:p>
      <w:pPr>
        <w:pStyle w:val="ListBullet"/>
        <w:spacing w:after="80"/>
      </w:pPr>
      <w:r>
        <w:t>The host completes login through MCP OAuth without exposing a password to the model or chat transcript.</w:t>
      </w:r>
    </w:p>
    <w:p>
      <w:pPr>
        <w:pStyle w:val="ListBullet"/>
        <w:spacing w:after="80"/>
      </w:pPr>
      <w:r>
        <w:t>Create and cancel actions produce Salesforce records with the correct owner and channel audit values.</w:t>
      </w:r>
    </w:p>
    <w:p>
      <w:pPr>
        <w:pStyle w:val="ListBullet"/>
        <w:spacing w:after="80"/>
      </w:pPr>
      <w:r>
        <w:t>Salesforce confirms the licensing assumptions required for the target use case.</w:t>
      </w:r>
    </w:p>
    <w:p>
      <w:pPr>
        <w:pStyle w:val="Heading1"/>
        <w:keepNext/>
      </w:pPr>
      <w:r>
        <w:t>Approval boundary</w:t>
      </w:r>
    </w:p>
    <w:p>
      <w:r>
        <w:t>Approval covers design, technical validation, and a controlled demonstration of the next-phase scope. It excludes production deployment, customer rollout, procurement, and changes to organizational Slack or ChatGPT plans unless those items receive separate approval.</w:t>
      </w:r>
    </w:p>
    <w:p>
      <w:pPr>
        <w:pStyle w:val="Heading1"/>
        <w:keepNext/>
      </w:pPr>
      <w:r>
        <w:t>Approval</w:t>
      </w:r>
    </w:p>
    <w:p>
      <w:pPr>
        <w:spacing w:after="140"/>
      </w:pPr>
      <w:r>
        <w:rPr>
          <w:b/>
        </w:rPr>
        <w:t xml:space="preserve">Decision  </w:t>
      </w:r>
      <w:r>
        <w:t>[  ] Approve       [  ] Approve with conditions       [  ] Defer</w:t>
      </w:r>
    </w:p>
    <w:p>
      <w:pPr>
        <w:spacing w:after="140"/>
      </w:pPr>
      <w:r>
        <w:rPr>
          <w:b/>
        </w:rPr>
        <w:t xml:space="preserve">Conditions or comments  </w:t>
      </w:r>
      <w:r>
        <w:t>________________________________________________________</w:t>
      </w:r>
    </w:p>
    <w:p>
      <w:pPr>
        <w:spacing w:before="200"/>
      </w:pPr>
      <w:r>
        <w:rPr>
          <w:b/>
        </w:rPr>
        <w:t xml:space="preserve">Approver name  </w:t>
      </w:r>
      <w:r>
        <w:t>__________________________________</w:t>
      </w:r>
      <w:r>
        <w:rPr>
          <w:b/>
        </w:rPr>
        <w:t xml:space="preserve">    Date  </w:t>
      </w:r>
      <w:r>
        <w:t>________________</w:t>
      </w:r>
    </w:p>
    <w:sectPr w:rsidR="00FC693F" w:rsidRPr="0006063C" w:rsidSect="00034616">
      <w:pgSz w:w="12240" w:h="15840"/>
      <w:pgMar w:top="979"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F23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HXL Named User Agent Experience Proof of Concept</dc:title>
  <dc:subject>Executive summary and approval request</dc:subject>
  <dc:creator>HXL POC Team</dc:creator>
  <cp:keywords>HXL, Salesforce, MCP, named user, proof of concept, approval</cp:keywords>
  <dc:description>generated by python-docx</dc:description>
  <cp:lastModifiedBy/>
  <cp:revision>1</cp:revision>
  <dcterms:created xsi:type="dcterms:W3CDTF">2013-12-23T23:15:00Z</dcterms:created>
  <dcterms:modified xsi:type="dcterms:W3CDTF">2013-12-23T23:15:00Z</dcterms:modified>
  <cp:category/>
</cp:coreProperties>
</file>