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Nutrivana Weekly Sync — Sprint 4</w:t>
      </w:r>
    </w:p>
    <w:p>
      <w:r>
        <w:t>Date: February 19, 2025</w:t>
      </w:r>
    </w:p>
    <w:p>
      <w:r>
        <w:t>Sprint: Sprint 4 (February 12-25)</w:t>
      </w:r>
    </w:p>
    <w:p>
      <w:r>
        <w:t>Attendees: Shristi, Arjun, Priya, Kabir, Ananya</w:t>
      </w:r>
    </w:p>
    <w:p>
      <w:pPr>
        <w:pStyle w:val="Heading1"/>
      </w:pPr>
      <w:r>
        <w:t>Sprint Health Check</w:t>
      </w:r>
    </w:p>
    <w:p>
      <w:r>
        <w:t>Sprint 4 is mostly on track but NUTR-009 (portion size adjustment) is taking significantly longer than estimated — full sprint instead of 5 days. Arjun and Priya are pairing on it to resolve the issues. NUTR-007, NUTR-008, and NUTR-010 have all been completed ahead of schedule. NUTR-015 through NUTR-018 are currently in progress with Priya. The calculation engine task, NUTR-TASK-004, is also in progress with Arjun. Overall, while we are making progress, the delay on NUTR-009 is a concern as it impacts other tasks.</w:t>
      </w:r>
    </w:p>
    <w:p>
      <w:pPr>
        <w:pStyle w:val="Heading1"/>
      </w:pPr>
      <w:r>
        <w:t>Key Discussion 1 — Food-specific serving units discovery (NUTR-009)</w:t>
      </w:r>
    </w:p>
    <w:p>
      <w:r>
        <w:t>Arjun raised a discovery from February 16 regarding the USDA database, stating that it does not use generic serving units; instead, each food has its own specific serving unit. He provided examples: Oats, rolled, dry: 1 cup = 156 grams; Spinach, raw: 1 cup = 30 grams; Chicken breast, roasted: 1 serving = 85 grams. The PRD had assumed a generic dropdown (cup, tablespoon, gram, ounce), which was incorrect. Kabir asked what the UI would look like with food-specific units. Arjun showed a mockup where the portion input displays the food's own units with the gram equivalent updating in real time, allowing users to switch to grams directly. Priya commented that this approach actually enhances user experience, as users think in terms of 'cups of oats' rather than '156 grams of oats.' Ananya noted that this could be a strong marketing point, emphasizing that 'we show portions the way you actually measure your food.' Shristi concluded that implementing food-specific serving units is the correct approach and noted that the PRD should be updated accordingly, leading to a better product than originally specified.</w:t>
      </w:r>
    </w:p>
    <w:p>
      <w:pPr>
        <w:pStyle w:val="Heading1"/>
      </w:pPr>
      <w:r>
        <w:t>Key Discussion 2 — FoodDiaryContext deferred</w:t>
      </w:r>
    </w:p>
    <w:p>
      <w:r>
        <w:t>Priya raised the issue that FoodDiaryContext was identified as a necessary feature for this sprint but has not been implemented due to NUTR-009 consuming all available time. Arjun explained that FoodDiaryContext is crucial for diary totals to update correctly without requiring a full page refresh. He emphasized that without it, the analysis screen will not update when food is added to the diary, which is a core experience issue. Shristi stated that since this is a core experience issue, it cannot be deferred. However, Arjun pointed out that they are out of time this sprint due to NUTR-009 taking all resources, suggesting it be prioritized as P0 in Sprint 5. Shristi accepted the deferral reluctantly but noted explicitly that this is the second time architectural work has been deferred, which creates risk. She emphasized that every deferral makes it harder to address later and set a hard deadline for Sprint 5.</w:t>
      </w:r>
    </w:p>
    <w:p>
      <w:pPr>
        <w:pStyle w:val="Heading1"/>
      </w:pPr>
      <w:r>
        <w:t>Key Discussion 3 — Color coding for weight goals (NUTR-017)</w:t>
      </w:r>
    </w:p>
    <w:p>
      <w:r>
        <w:t>Kabir raised a design question regarding the PRD's specification of green/yellow/red for calorie tracking. He asked how to define 'over' for users maintaining weight versus those losing weight. Priya responded that going 200 calories over for a maintenance user should not be seen as a crisis and should not be marked red. Arjun agreed, stating that red implies danger, and for maintenance users, being over by 200 calories should be yellow. Shristi added that this is a clinical decision: being over for weight loss is bad (red), while being over for maintenance is less severe (yellow), and being over for weight gain can be positive (green in some cases). The decision reached was that color logic will be dependent on the weight goal type: for loss, being over calorie will be red, under will be green; for gain, being over calorie will be green, under will be yellow; and for maintenance, being over or under will be yellow, while being on target will be green. Kabir will update the design system accordingly, and Arjun will implement this as a shared variable.</w:t>
      </w:r>
    </w:p>
    <w:p>
      <w:pPr>
        <w:pStyle w:val="Heading1"/>
      </w:pPr>
      <w:r>
        <w:t>User and Market Updates</w:t>
      </w:r>
    </w:p>
    <w:p>
      <w:r>
        <w:t>Ananya reported that the waitlist currently stands at 134. She mentioned that an Instagram Reel about the Indian food gap was posted on February 15, which garnered 1,247 views and resulted in 89 new follows, making it the best performing content so far. The pain point regarding Indian food resonates strongly with the audience. Additionally, three user interviews have been completed, revealing that all three users currently utilize 2-3 apps simultaneously: MFP for the database, Cronometer for micronutrients, and a spreadsheet for Indian foods. This highlights Nutrivana's value proposition of consolidation in the market.</w:t>
      </w:r>
    </w:p>
    <w:p>
      <w:pPr>
        <w:pStyle w:val="Heading1"/>
      </w:pPr>
      <w:r>
        <w:t>Decisions Made</w:t>
      </w:r>
    </w:p>
    <w:p>
      <w:r>
        <w:t>1. Food-specific serving units from USDA data (NUTR-009). PRD updated.</w:t>
      </w:r>
    </w:p>
    <w:p>
      <w:r>
        <w:t>2. FoodDiaryContext deferred to Sprint 5 as P0 — cannot be deferred again.</w:t>
      </w:r>
    </w:p>
    <w:p>
      <w:r>
        <w:t>3. Color coding is weight_goal_type dependent — 3 color schemes.</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Kabir updates design system with weight-goal-type color logic</w:t>
            </w:r>
          </w:p>
        </w:tc>
        <w:tc>
          <w:tcPr>
            <w:tcW w:type="dxa" w:w="2880"/>
          </w:tcPr>
          <w:p>
            <w:r>
              <w:t>Kabir</w:t>
            </w:r>
          </w:p>
        </w:tc>
        <w:tc>
          <w:tcPr>
            <w:tcW w:type="dxa" w:w="2880"/>
          </w:tcPr>
          <w:p>
            <w:r>
              <w:t>Feb 22</w:t>
            </w:r>
          </w:p>
        </w:tc>
      </w:tr>
      <w:tr>
        <w:tc>
          <w:tcPr>
            <w:tcW w:type="dxa" w:w="2880"/>
          </w:tcPr>
          <w:p>
            <w:r>
              <w:t>FoodDiaryContext added as P0 to Sprint 5 backlog</w:t>
            </w:r>
          </w:p>
        </w:tc>
        <w:tc>
          <w:tcPr>
            <w:tcW w:type="dxa" w:w="2880"/>
          </w:tcPr>
          <w:p>
            <w:r>
              <w:t>Shristi</w:t>
            </w:r>
          </w:p>
        </w:tc>
        <w:tc>
          <w:tcPr>
            <w:tcW w:type="dxa" w:w="2880"/>
          </w:tcPr>
          <w:p>
            <w:r>
              <w:t>Feb 26</w:t>
            </w:r>
          </w:p>
        </w:tc>
      </w:tr>
      <w:tr>
        <w:tc>
          <w:tcPr>
            <w:tcW w:type="dxa" w:w="2880"/>
          </w:tcPr>
          <w:p>
            <w:r>
              <w:t>Arjun documents food-specific serving unit approach in tech spec</w:t>
            </w:r>
          </w:p>
        </w:tc>
        <w:tc>
          <w:tcPr>
            <w:tcW w:type="dxa" w:w="2880"/>
          </w:tcPr>
          <w:p>
            <w:r>
              <w:t>Arjun</w:t>
            </w:r>
          </w:p>
        </w:tc>
        <w:tc>
          <w:tcPr>
            <w:tcW w:type="dxa" w:w="2880"/>
          </w:tcPr>
          <w:p>
            <w:r>
              <w:t>Feb 25</w:t>
            </w:r>
          </w:p>
        </w:tc>
      </w:tr>
      <w:tr>
        <w:tc>
          <w:tcPr>
            <w:tcW w:type="dxa" w:w="2880"/>
          </w:tcPr>
          <w:p>
            <w:r>
              <w:t>Ananya conducts 2 more user interviews before March 15</w:t>
            </w:r>
          </w:p>
        </w:tc>
        <w:tc>
          <w:tcPr>
            <w:tcW w:type="dxa" w:w="2880"/>
          </w:tcPr>
          <w:p>
            <w:r>
              <w:t>Ananya</w:t>
            </w:r>
          </w:p>
        </w:tc>
        <w:tc>
          <w:tcPr>
            <w:tcW w:type="dxa" w:w="2880"/>
          </w:tcPr>
          <w:p>
            <w:r>
              <w:t>Mar 15</w:t>
            </w:r>
          </w:p>
        </w:tc>
      </w:tr>
    </w:tbl>
    <w:p>
      <w:pPr>
        <w:pStyle w:val="Heading1"/>
      </w:pPr>
      <w:r>
        <w:t>Next Week Focus</w:t>
      </w:r>
    </w:p>
    <w:p>
      <w:r>
        <w:t>The focus for next week is to complete Sprint 4 by February 25, with a demo walkthrough scheduled for February 24. Additionally, planning for Sprint 5 will commence, with FoodDiaryContext being prioritized as the first P0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