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11 Planning — Nutrivana</w:t>
      </w:r>
    </w:p>
    <w:p>
      <w:r>
        <w:rPr>
          <w:i/>
        </w:rPr>
        <w:t>Sprint dates: May 27 to June 9, 2025</w:t>
      </w:r>
    </w:p>
    <w:p>
      <w:r>
        <w:rPr>
          <w:b/>
        </w:rPr>
        <w:t>Complete all research and analysis documents that provide the data foundation for Q3 decisions. No new features will be developed this sprint.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Retention cohort, funnel analysis, metrics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Bug fix BUG-012, technical support for research queries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Competitive analysis, V2 design sketches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Customer interview documentation, competitive update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CEO/Product Manager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Feature adoption reports, funnel report, analysis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RES-002</w:t>
            </w:r>
          </w:p>
        </w:tc>
        <w:tc>
          <w:tcPr>
            <w:tcW w:type="dxa" w:w="1440"/>
          </w:tcPr>
          <w:p>
            <w:r>
              <w:t>Feature adoption report — Custom Food Creator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Essential for understanding how well the custom food feature is performing.</w:t>
            </w:r>
          </w:p>
        </w:tc>
      </w:tr>
      <w:tr>
        <w:tc>
          <w:tcPr>
            <w:tcW w:type="dxa" w:w="1440"/>
          </w:tcPr>
          <w:p>
            <w:r>
              <w:t>RES-003</w:t>
            </w:r>
          </w:p>
        </w:tc>
        <w:tc>
          <w:tcPr>
            <w:tcW w:type="dxa" w:w="1440"/>
          </w:tcPr>
          <w:p>
            <w:r>
              <w:t>Feature adoption report — Nutrient Analysis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Critical to assess user engagement with nutrient tracking.</w:t>
            </w:r>
          </w:p>
        </w:tc>
      </w:tr>
      <w:tr>
        <w:tc>
          <w:tcPr>
            <w:tcW w:type="dxa" w:w="1440"/>
          </w:tcPr>
          <w:p>
            <w:r>
              <w:t>RES-004</w:t>
            </w:r>
          </w:p>
        </w:tc>
        <w:tc>
          <w:tcPr>
            <w:tcW w:type="dxa" w:w="1440"/>
          </w:tcPr>
          <w:p>
            <w:r>
              <w:t>Goal setting funnel analysis — 38% drop-off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Needed to identify where users are losing interest in goal setting.</w:t>
            </w:r>
          </w:p>
        </w:tc>
      </w:tr>
      <w:tr>
        <w:tc>
          <w:tcPr>
            <w:tcW w:type="dxa" w:w="1440"/>
          </w:tcPr>
          <w:p>
            <w:r>
              <w:t>RES-005</w:t>
            </w:r>
          </w:p>
        </w:tc>
        <w:tc>
          <w:tcPr>
            <w:tcW w:type="dxa" w:w="1440"/>
          </w:tcPr>
          <w:p>
            <w:r>
              <w:t>Customer interview notes — 8 beta users March</w:t>
            </w:r>
          </w:p>
        </w:tc>
        <w:tc>
          <w:tcPr>
            <w:tcW w:type="dxa" w:w="1440"/>
          </w:tcPr>
          <w:p>
            <w:r>
              <w:t>Ananya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Documentation of user feedback is vital for future feature improvements.</w:t>
            </w:r>
          </w:p>
        </w:tc>
      </w:tr>
      <w:tr>
        <w:tc>
          <w:tcPr>
            <w:tcW w:type="dxa" w:w="1440"/>
          </w:tcPr>
          <w:p>
            <w:r>
              <w:t>RES-006</w:t>
            </w:r>
          </w:p>
        </w:tc>
        <w:tc>
          <w:tcPr>
            <w:tcW w:type="dxa" w:w="1440"/>
          </w:tcPr>
          <w:p>
            <w:r>
              <w:t>Competitive analysis update — post-launch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To stay informed about competitor offerings and adjust our strategy.</w:t>
            </w:r>
          </w:p>
        </w:tc>
      </w:tr>
      <w:tr>
        <w:tc>
          <w:tcPr>
            <w:tcW w:type="dxa" w:w="1440"/>
          </w:tcPr>
          <w:p>
            <w:r>
              <w:t>MET-001</w:t>
            </w:r>
          </w:p>
        </w:tc>
        <w:tc>
          <w:tcPr>
            <w:tcW w:type="dxa" w:w="1440"/>
          </w:tcPr>
          <w:p>
            <w:r>
              <w:t>Weekly metrics sheet — May complete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Provides the necessary metrics for the feature adoption reports.</w:t>
            </w:r>
          </w:p>
        </w:tc>
      </w:tr>
      <w:tr>
        <w:tc>
          <w:tcPr>
            <w:tcW w:type="dxa" w:w="1440"/>
          </w:tcPr>
          <w:p>
            <w:r>
              <w:t>RET-001</w:t>
            </w:r>
          </w:p>
        </w:tc>
        <w:tc>
          <w:tcPr>
            <w:tcW w:type="dxa" w:w="1440"/>
          </w:tcPr>
          <w:p>
            <w:r>
              <w:t>Retention cohort analysis — May cohort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Important to understand user retention trends for Q3 planning.</w:t>
            </w:r>
          </w:p>
        </w:tc>
      </w:tr>
      <w:tr>
        <w:tc>
          <w:tcPr>
            <w:tcW w:type="dxa" w:w="1440"/>
          </w:tcPr>
          <w:p>
            <w:r>
              <w:t>BUG-012</w:t>
            </w:r>
          </w:p>
        </w:tc>
        <w:tc>
          <w:tcPr>
            <w:tcW w:type="dxa" w:w="1440"/>
          </w:tcPr>
          <w:p>
            <w:r>
              <w:t>Trend chart double-counting supplement logs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Fixing this bug is necessary for accurate reporting.</w:t>
            </w:r>
          </w:p>
        </w:tc>
      </w:tr>
      <w:tr>
        <w:tc>
          <w:tcPr>
            <w:tcW w:type="dxa" w:w="1440"/>
          </w:tcPr>
          <w:p>
            <w:r>
              <w:t>FUN-001</w:t>
            </w:r>
          </w:p>
        </w:tc>
        <w:tc>
          <w:tcPr>
            <w:tcW w:type="dxa" w:w="1440"/>
          </w:tcPr>
          <w:p>
            <w:r>
              <w:t>Funnel analysis report — March and June cohorts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Synthesis of funnel data is crucial for understanding user behavior.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Custom food 2.3x Day 30 retention formally confirmed with sample sizes documented.</w:t>
      </w:r>
    </w:p>
    <w:p>
      <w:pPr>
        <w:pStyle w:val="ListBullet"/>
      </w:pPr>
      <w:r>
        <w:t>First-3-sessions custom food insight confirmed with data.</w:t>
      </w:r>
    </w:p>
    <w:p>
      <w:pPr>
        <w:pStyle w:val="ListBullet"/>
      </w:pPr>
      <w:r>
        <w:t>38% goal setting drop-off confirmed with exact funnel data.</w:t>
      </w:r>
    </w:p>
    <w:p>
      <w:pPr>
        <w:pStyle w:val="ListBullet"/>
      </w:pPr>
      <w:r>
        <w:t>May metrics sheet complete with all 4 weeks of May documented.</w:t>
      </w:r>
    </w:p>
    <w:p>
      <w:pPr>
        <w:pStyle w:val="ListBullet"/>
      </w:pPr>
      <w:r>
        <w:t>May retention cohort analysis complete with custom food segmentation.</w:t>
      </w:r>
    </w:p>
    <w:p>
      <w:pPr>
        <w:pStyle w:val="ListBullet"/>
      </w:pPr>
      <w:r>
        <w:t>All 8 March beta user interviews formally documented.</w:t>
      </w:r>
    </w:p>
    <w:p>
      <w:pPr>
        <w:pStyle w:val="ListBullet"/>
      </w:pPr>
      <w:r>
        <w:t>Funnel analysis report complete with both March and June funnels.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RES-002 depends on MET-001 being complete — need May metrics to provide context for feature adoption numbers.</w:t>
      </w:r>
    </w:p>
    <w:p>
      <w:pPr>
        <w:pStyle w:val="ListBullet"/>
      </w:pPr>
      <w:r>
        <w:t>RES-004 depends on Arjun having built the funnel query — he starts this on May 27 before any other Sprint 11 ticket.</w:t>
      </w:r>
    </w:p>
    <w:p>
      <w:pPr>
        <w:pStyle w:val="ListBullet"/>
      </w:pPr>
      <w:r>
        <w:t>FUN-001 depends on RES-004 being complete — the funnel report synthesizes the raw funnel analysis data into a full document.</w:t>
      </w:r>
    </w:p>
    <w:p>
      <w:pPr>
        <w:pStyle w:val="Heading1"/>
      </w:pPr>
      <w:r>
        <w:t>Risks</w:t>
      </w:r>
    </w:p>
    <w:p>
      <w:pPr>
        <w:pStyle w:val="ListBullet"/>
      </w:pPr>
      <w:r>
        <w:t>Risk: RES-004 funnel analysis: the query spans 3 different database tables with timestamps. If timestamp data is incomplete for some users, the drop-off percentages will be inaccurate. Mitigation: Arjun validates the query against a sample of known users before running the full analysis.</w:t>
      </w:r>
    </w:p>
    <w:p>
      <w:pPr>
        <w:pStyle w:val="ListBullet"/>
      </w:pPr>
      <w:r>
        <w:t>Risk: RES-002 retention correlation: the custom food cohort (287 users) and non-custom-food cohort (413 users) must be well defined before the 2.3x number is stated. Sample size validation is required. Mitigation: Conduct a thorough review of cohort definitions and ensure sample sizes are validated before reporting.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9 research documents completed and shared in team Slack.</w:t>
      </w:r>
    </w:p>
    <w:p>
      <w:pPr>
        <w:pStyle w:val="ListBullet"/>
      </w:pPr>
      <w:r>
        <w:t>Every number in RES-002 and RES-004 verified against Supabase raw data.</w:t>
      </w:r>
    </w:p>
    <w:p>
      <w:pPr>
        <w:pStyle w:val="ListBullet"/>
      </w:pPr>
      <w:r>
        <w:t>Funnel analysis 38% drop-off confirmed with sample size documented.</w:t>
      </w:r>
    </w:p>
    <w:p>
      <w:pPr>
        <w:pStyle w:val="ListBullet"/>
      </w:pPr>
      <w:r>
        <w:t>May metrics sheet validated by Shristi against Supabase.</w:t>
      </w:r>
    </w:p>
    <w:p>
      <w:pPr>
        <w:pStyle w:val="ListBullet"/>
      </w:pPr>
      <w:r>
        <w:t>No research document contains unverified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