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sz w:val="44"/>
          <w:szCs w:val="44"/>
          <w:rFonts w:ascii="Times New Roman" w:cs="Times New Roman" w:eastAsia="Times New Roman" w:hAnsi="Times New Roman"/>
        </w:rPr>
        <w:t xml:space="preserve">LiteCascade: A Risk-Controlled Early-Exit Cascade of Distilled Lightweight Deep Networks for On-Device IoT Intrusion and Malware Detection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2610"/>
            <w:tcBorders>
              <w:top w:val="none" w:color="FFFFFF" w:sz="0"/>
              <w:left w:val="none" w:color="FFFFFF" w:sz="0"/>
              <w:bottom w:val="none" w:color="FFFFFF" w:sz="0"/>
              <w:right w:val="none" w:color="FFFFFF" w:sz="0"/>
            </w:tcBorders>
          </w:tcPr>
          <w:p>
            <w:pPr>
              <w:jc w:val="center"/>
            </w:pPr>
            <w:r>
              <w:rPr>
                <w:i w:val="false"/>
                <w:iCs w:val="false"/>
                <w:sz w:val="22"/>
                <w:szCs w:val="22"/>
                <w:rFonts w:ascii="Times New Roman" w:cs="Times New Roman" w:eastAsia="Times New Roman" w:hAnsi="Times New Roman"/>
              </w:rPr>
              <w:t xml:space="preserve">Anish P</w:t>
            </w:r>
          </w:p>
          <w:p>
            <w:pPr>
              <w:jc w:val="center"/>
            </w:pPr>
            <w:r>
              <w:rPr>
                <w:i w:val="false"/>
                <w:iCs w:val="false"/>
                <w:sz w:val="18"/>
                <w:szCs w:val="18"/>
                <w:rFonts w:ascii="Times New Roman" w:cs="Times New Roman" w:eastAsia="Times New Roman" w:hAnsi="Times New Roman"/>
              </w:rPr>
              <w:t xml:space="preserve">Reg. No. 24BCE2394</w:t>
            </w:r>
          </w:p>
          <w:p>
            <w:pPr>
              <w:jc w:val="center"/>
            </w:pPr>
            <w:r>
              <w:rPr>
                <w:i/>
                <w:iCs/>
                <w:sz w:val="18"/>
                <w:szCs w:val="18"/>
                <w:rFonts w:ascii="Times New Roman" w:cs="Times New Roman" w:eastAsia="Times New Roman" w:hAnsi="Times New Roman"/>
              </w:rPr>
              <w:t xml:space="preserve">[Department], [Institution]</w:t>
            </w:r>
          </w:p>
          <w:p>
            <w:pPr>
              <w:jc w:val="center"/>
            </w:pPr>
            <w:r>
              <w:rPr>
                <w:i w:val="false"/>
                <w:iCs w:val="false"/>
                <w:sz w:val="18"/>
                <w:szCs w:val="18"/>
                <w:rFonts w:ascii="Times New Roman" w:cs="Times New Roman" w:eastAsia="Times New Roman" w:hAnsi="Times New Roman"/>
              </w:rPr>
              <w:t xml:space="preserve">[City, Country]</w:t>
            </w:r>
          </w:p>
          <w:p>
            <w:pPr>
              <w:jc w:val="center"/>
            </w:pPr>
            <w:r>
              <w:rPr>
                <w:i w:val="false"/>
                <w:iCs w:val="false"/>
                <w:sz w:val="18"/>
                <w:szCs w:val="18"/>
                <w:rFonts w:ascii="Times New Roman" w:cs="Times New Roman" w:eastAsia="Times New Roman" w:hAnsi="Times New Roman"/>
              </w:rPr>
              <w:t xml:space="preserve">[email]</w:t>
            </w:r>
          </w:p>
        </w:tc>
        <w:tc>
          <w:tcPr>
            <w:tcW w:type="dxa" w:w="2610"/>
            <w:tcBorders>
              <w:top w:val="none" w:color="FFFFFF" w:sz="0"/>
              <w:left w:val="none" w:color="FFFFFF" w:sz="0"/>
              <w:bottom w:val="none" w:color="FFFFFF" w:sz="0"/>
              <w:right w:val="none" w:color="FFFFFF" w:sz="0"/>
            </w:tcBorders>
          </w:tcPr>
          <w:p>
            <w:pPr>
              <w:jc w:val="center"/>
            </w:pPr>
            <w:r>
              <w:rPr>
                <w:i w:val="false"/>
                <w:iCs w:val="false"/>
                <w:sz w:val="22"/>
                <w:szCs w:val="22"/>
                <w:rFonts w:ascii="Times New Roman" w:cs="Times New Roman" w:eastAsia="Times New Roman" w:hAnsi="Times New Roman"/>
              </w:rPr>
              <w:t xml:space="preserve">Shrivardhini N</w:t>
            </w:r>
          </w:p>
          <w:p>
            <w:pPr>
              <w:jc w:val="center"/>
            </w:pPr>
            <w:r>
              <w:rPr>
                <w:i w:val="false"/>
                <w:iCs w:val="false"/>
                <w:sz w:val="18"/>
                <w:szCs w:val="18"/>
                <w:rFonts w:ascii="Times New Roman" w:cs="Times New Roman" w:eastAsia="Times New Roman" w:hAnsi="Times New Roman"/>
              </w:rPr>
              <w:t xml:space="preserve">Reg. No. 24BCE2515</w:t>
            </w:r>
          </w:p>
          <w:p>
            <w:pPr>
              <w:jc w:val="center"/>
            </w:pPr>
            <w:r>
              <w:rPr>
                <w:i/>
                <w:iCs/>
                <w:sz w:val="18"/>
                <w:szCs w:val="18"/>
                <w:rFonts w:ascii="Times New Roman" w:cs="Times New Roman" w:eastAsia="Times New Roman" w:hAnsi="Times New Roman"/>
              </w:rPr>
              <w:t xml:space="preserve">[Department], [Institution]</w:t>
            </w:r>
          </w:p>
          <w:p>
            <w:pPr>
              <w:jc w:val="center"/>
            </w:pPr>
            <w:r>
              <w:rPr>
                <w:i w:val="false"/>
                <w:iCs w:val="false"/>
                <w:sz w:val="18"/>
                <w:szCs w:val="18"/>
                <w:rFonts w:ascii="Times New Roman" w:cs="Times New Roman" w:eastAsia="Times New Roman" w:hAnsi="Times New Roman"/>
              </w:rPr>
              <w:t xml:space="preserve">[City, Country]</w:t>
            </w:r>
          </w:p>
          <w:p>
            <w:pPr>
              <w:jc w:val="center"/>
            </w:pPr>
            <w:r>
              <w:rPr>
                <w:i w:val="false"/>
                <w:iCs w:val="false"/>
                <w:sz w:val="18"/>
                <w:szCs w:val="18"/>
                <w:rFonts w:ascii="Times New Roman" w:cs="Times New Roman" w:eastAsia="Times New Roman" w:hAnsi="Times New Roman"/>
              </w:rPr>
              <w:t xml:space="preserve">[email]</w:t>
            </w:r>
          </w:p>
        </w:tc>
        <w:tc>
          <w:tcPr>
            <w:tcW w:type="dxa" w:w="2610"/>
            <w:tcBorders>
              <w:top w:val="none" w:color="FFFFFF" w:sz="0"/>
              <w:left w:val="none" w:color="FFFFFF" w:sz="0"/>
              <w:bottom w:val="none" w:color="FFFFFF" w:sz="0"/>
              <w:right w:val="none" w:color="FFFFFF" w:sz="0"/>
            </w:tcBorders>
          </w:tcPr>
          <w:p>
            <w:pPr>
              <w:jc w:val="center"/>
            </w:pPr>
            <w:r>
              <w:rPr>
                <w:i w:val="false"/>
                <w:iCs w:val="false"/>
                <w:sz w:val="22"/>
                <w:szCs w:val="22"/>
                <w:rFonts w:ascii="Times New Roman" w:cs="Times New Roman" w:eastAsia="Times New Roman" w:hAnsi="Times New Roman"/>
              </w:rPr>
              <w:t xml:space="preserve">Vividha Senthil Mohan</w:t>
            </w:r>
          </w:p>
          <w:p>
            <w:pPr>
              <w:jc w:val="center"/>
            </w:pPr>
            <w:r>
              <w:rPr>
                <w:i w:val="false"/>
                <w:iCs w:val="false"/>
                <w:sz w:val="18"/>
                <w:szCs w:val="18"/>
                <w:rFonts w:ascii="Times New Roman" w:cs="Times New Roman" w:eastAsia="Times New Roman" w:hAnsi="Times New Roman"/>
              </w:rPr>
              <w:t xml:space="preserve">Reg. No. 24BCB0159</w:t>
            </w:r>
          </w:p>
          <w:p>
            <w:pPr>
              <w:jc w:val="center"/>
            </w:pPr>
            <w:r>
              <w:rPr>
                <w:i/>
                <w:iCs/>
                <w:sz w:val="18"/>
                <w:szCs w:val="18"/>
                <w:rFonts w:ascii="Times New Roman" w:cs="Times New Roman" w:eastAsia="Times New Roman" w:hAnsi="Times New Roman"/>
              </w:rPr>
              <w:t xml:space="preserve">[Department], [Institution]</w:t>
            </w:r>
          </w:p>
          <w:p>
            <w:pPr>
              <w:jc w:val="center"/>
            </w:pPr>
            <w:r>
              <w:rPr>
                <w:i w:val="false"/>
                <w:iCs w:val="false"/>
                <w:sz w:val="18"/>
                <w:szCs w:val="18"/>
                <w:rFonts w:ascii="Times New Roman" w:cs="Times New Roman" w:eastAsia="Times New Roman" w:hAnsi="Times New Roman"/>
              </w:rPr>
              <w:t xml:space="preserve">[City, Country]</w:t>
            </w:r>
          </w:p>
          <w:p>
            <w:pPr>
              <w:jc w:val="center"/>
            </w:pPr>
            <w:r>
              <w:rPr>
                <w:i w:val="false"/>
                <w:iCs w:val="false"/>
                <w:sz w:val="18"/>
                <w:szCs w:val="18"/>
                <w:rFonts w:ascii="Times New Roman" w:cs="Times New Roman" w:eastAsia="Times New Roman" w:hAnsi="Times New Roman"/>
              </w:rPr>
              <w:t xml:space="preserve">[email]</w:t>
            </w:r>
          </w:p>
        </w:tc>
        <w:tc>
          <w:tcPr>
            <w:tcW w:type="dxa" w:w="2610"/>
            <w:tcBorders>
              <w:top w:val="none" w:color="FFFFFF" w:sz="0"/>
              <w:left w:val="none" w:color="FFFFFF" w:sz="0"/>
              <w:bottom w:val="none" w:color="FFFFFF" w:sz="0"/>
              <w:right w:val="none" w:color="FFFFFF" w:sz="0"/>
            </w:tcBorders>
          </w:tcPr>
          <w:p>
            <w:pPr>
              <w:jc w:val="center"/>
            </w:pPr>
            <w:r>
              <w:rPr>
                <w:i w:val="false"/>
                <w:iCs w:val="false"/>
                <w:sz w:val="22"/>
                <w:szCs w:val="22"/>
                <w:rFonts w:ascii="Times New Roman" w:cs="Times New Roman" w:eastAsia="Times New Roman" w:hAnsi="Times New Roman"/>
              </w:rPr>
              <w:t xml:space="preserve">Nidhi Satish</w:t>
            </w:r>
          </w:p>
          <w:p>
            <w:pPr>
              <w:jc w:val="center"/>
            </w:pPr>
            <w:r>
              <w:rPr>
                <w:i w:val="false"/>
                <w:iCs w:val="false"/>
                <w:sz w:val="18"/>
                <w:szCs w:val="18"/>
                <w:rFonts w:ascii="Times New Roman" w:cs="Times New Roman" w:eastAsia="Times New Roman" w:hAnsi="Times New Roman"/>
              </w:rPr>
              <w:t xml:space="preserve">Reg. No. 24BAI0267</w:t>
            </w:r>
          </w:p>
          <w:p>
            <w:pPr>
              <w:jc w:val="center"/>
            </w:pPr>
            <w:r>
              <w:rPr>
                <w:i/>
                <w:iCs/>
                <w:sz w:val="18"/>
                <w:szCs w:val="18"/>
                <w:rFonts w:ascii="Times New Roman" w:cs="Times New Roman" w:eastAsia="Times New Roman" w:hAnsi="Times New Roman"/>
              </w:rPr>
              <w:t xml:space="preserve">[Department], [Institution]</w:t>
            </w:r>
          </w:p>
          <w:p>
            <w:pPr>
              <w:jc w:val="center"/>
            </w:pPr>
            <w:r>
              <w:rPr>
                <w:i w:val="false"/>
                <w:iCs w:val="false"/>
                <w:sz w:val="18"/>
                <w:szCs w:val="18"/>
                <w:rFonts w:ascii="Times New Roman" w:cs="Times New Roman" w:eastAsia="Times New Roman" w:hAnsi="Times New Roman"/>
              </w:rPr>
              <w:t xml:space="preserve">[City, Country]</w:t>
            </w:r>
          </w:p>
          <w:p>
            <w:pPr>
              <w:jc w:val="center"/>
            </w:pPr>
            <w:r>
              <w:rPr>
                <w:i w:val="false"/>
                <w:iCs w:val="false"/>
                <w:sz w:val="18"/>
                <w:szCs w:val="18"/>
                <w:rFonts w:ascii="Times New Roman" w:cs="Times New Roman" w:eastAsia="Times New Roman" w:hAnsi="Times New Roman"/>
              </w:rPr>
              <w:t xml:space="preserve">[email]</w:t>
            </w:r>
          </w:p>
        </w:tc>
      </w:tr>
    </w:tbl>
    <w:p>
      <w:pPr>
        <w:spacing w:after="200"/>
      </w:pPr>
    </w:p>
    <w:p>
      <w:pPr>
        <w:sectPr>
          <w:pgSz w:w="12240" w:h="15840" w:orient="portrait"/>
          <w:pgMar w:top="1080" w:right="900" w:bottom="1440" w:left="900" w:header="708" w:footer="708" w:gutter="0"/>
          <w:pgNumType/>
          <w:docGrid w:linePitch="360"/>
        </w:sectPr>
      </w:pPr>
    </w:p>
    <w:p>
      <w:pPr>
        <w:spacing w:after="100"/>
        <w:jc w:val="both"/>
      </w:pPr>
      <w:r>
        <w:rPr>
          <w:b/>
          <w:bCs/>
          <w:i/>
          <w:iCs/>
          <w:sz w:val="18"/>
          <w:szCs w:val="18"/>
          <w:rFonts w:ascii="Times New Roman" w:cs="Times New Roman" w:eastAsia="Times New Roman" w:hAnsi="Times New Roman"/>
        </w:rPr>
        <w:t xml:space="preserve">Abstract</w:t>
      </w:r>
      <w:r>
        <w:rPr>
          <w:b/>
          <w:bCs/>
          <w:sz w:val="18"/>
          <w:szCs w:val="18"/>
          <w:rFonts w:ascii="Times New Roman" w:cs="Times New Roman" w:eastAsia="Times New Roman" w:hAnsi="Times New Roman"/>
        </w:rPr>
        <w:t xml:space="preserve">—</w:t>
      </w:r>
      <w:r>
        <w:rPr>
          <w:b/>
          <w:bCs/>
          <w:sz w:val="18"/>
          <w:szCs w:val="18"/>
          <w:rFonts w:ascii="Times New Roman" w:cs="Times New Roman" w:eastAsia="Times New Roman" w:hAnsi="Times New Roman"/>
        </w:rPr>
        <w:t xml:space="preserve">Deep sequence models detect IoT botnet traffic well but are expensive to run on every window of traffic, most of which is benign. We present LiteCascade, a two-exit deep network in which a PCA-initialised projection and a depthwise-separable stem feed a tiny Sentinel classifier and a distilled temporal Analyst. A temperature-calibrated gate releases a window at the Sentinel only when a one-sided Clopper–Pearson bound guarantees that the extra misses caused by exiting early stay below a user-set budget ε with confidence 1−α. The network is trained jointly with teacher-to-Analyst and Analyst-to-Sentinel distillation, then structurally pruned, quantized to INT8 with quantization-aware training, and re-calibrated. We release an open pipeline with leakage-safe device-level splits, loaders for N-BaIoT, CICIoT2023 and IoT-23, eleven deep-learning comparison models, and an interactive dashboard that runs all models live. On a deterministic synthetic benchmark in the N-BaIoT format (two unseen test devices, 3,110 windows), the 16,356-parameter INT8 LiteCascade-R reaches macro-F1 0.936 versus 0.936 for a 739,843-parameter CNN-BiLSTM teacher, occupies 50.3 KB, lets 86.4% of windows skip the Analyst with a measured exit-induced miss rate of 0.00% (ε = 0.5%), and is 2.76× faster than always running both exits. Several small baselines are equally accurate on this synthetic data; evaluation on the real datasets and on device hardware remains future work.</w:t>
      </w:r>
    </w:p>
    <w:p>
      <w:pPr>
        <w:spacing w:after="160"/>
        <w:jc w:val="both"/>
      </w:pPr>
      <w:r>
        <w:rPr>
          <w:b/>
          <w:bCs/>
          <w:i/>
          <w:iCs/>
          <w:sz w:val="18"/>
          <w:szCs w:val="18"/>
          <w:rFonts w:ascii="Times New Roman" w:cs="Times New Roman" w:eastAsia="Times New Roman" w:hAnsi="Times New Roman"/>
        </w:rPr>
        <w:t xml:space="preserve">Index Terms</w:t>
      </w:r>
      <w:r>
        <w:rPr>
          <w:b/>
          <w:bCs/>
          <w:sz w:val="18"/>
          <w:szCs w:val="18"/>
          <w:rFonts w:ascii="Times New Roman" w:cs="Times New Roman" w:eastAsia="Times New Roman" w:hAnsi="Times New Roman"/>
        </w:rPr>
        <w:t xml:space="preserve">—IoT security, intrusion detection, deep learning, early-exit networks, knowledge distillation, conformal risk control, quantization, TinyML.</w:t>
      </w:r>
    </w:p>
    <w:p>
      <w:pPr>
        <w:keepNext/>
        <w:spacing w:before="200" w:after="100"/>
        <w:jc w:val="center"/>
      </w:pPr>
      <w:r>
        <w:rPr>
          <w:sz w:val="20"/>
          <w:szCs w:val="20"/>
          <w:smallCaps/>
          <w:rFonts w:ascii="Times New Roman" w:cs="Times New Roman" w:eastAsia="Times New Roman" w:hAnsi="Times New Roman"/>
        </w:rPr>
        <w:t xml:space="preserve">I. Introduction</w:t>
      </w:r>
    </w:p>
    <w:p>
      <w:pPr>
        <w:spacing w:after="0" w:before="0" w:line="228" w:lineRule="auto"/>
        <w:ind w:firstLine="202"/>
        <w:jc w:val="both"/>
      </w:pPr>
      <w:r>
        <w:rPr>
          <w:sz w:val="20"/>
          <w:szCs w:val="20"/>
          <w:rFonts w:ascii="Times New Roman" w:cs="Times New Roman" w:eastAsia="Times New Roman" w:hAnsi="Times New Roman"/>
        </w:rPr>
        <w:t xml:space="preserve">Billions of IoT devices sit on home, industrial and critical-infrastructure networks, and botnets such as Mirai and BASHLITE have shown how quickly such devices can be conscripted [1]. Detecting malicious traffic on the device itself avoids cloud round trips and keeps data local, but IoT hardware offers kilobytes of RAM and a tight energy budget. Deep sequence models (LSTM, BiLSTM, hybrid CNN-RNN and transformers) detect attacks well [2], [3], [4], yet they charge every window the same full inference cost, even though live IoT traffic is overwhelmingly benign and mostly easy to classify.</w:t>
      </w:r>
    </w:p>
    <w:p>
      <w:pPr>
        <w:spacing w:after="0" w:before="0" w:line="228" w:lineRule="auto"/>
        <w:ind w:firstLine="202"/>
        <w:jc w:val="both"/>
      </w:pPr>
      <w:r>
        <w:rPr>
          <w:sz w:val="20"/>
          <w:szCs w:val="20"/>
          <w:rFonts w:ascii="Times New Roman" w:cs="Times New Roman" w:eastAsia="Times New Roman" w:hAnsi="Times New Roman"/>
        </w:rPr>
        <w:t xml:space="preserve">Lightweight IoT detectors usually compress one thing at a time: the inputs (incremental PCA [5]), the architecture (MobileNet-style networks [6]) or the weights (quantization [5]). Early-exit networks such as BranchyNet [7] instead adapt compute to the input, but an uncalibrated early exit can silently miss attacks. This paper combines both ideas and adds a statistical guarantee on what early exit may cost.</w:t>
      </w:r>
    </w:p>
    <w:p>
      <w:pPr>
        <w:spacing w:after="40" w:before="0" w:line="228" w:lineRule="auto"/>
        <w:ind w:firstLine="202"/>
        <w:jc w:val="both"/>
      </w:pPr>
      <w:r>
        <w:rPr>
          <w:sz w:val="20"/>
          <w:szCs w:val="20"/>
          <w:rFonts w:ascii="Times New Roman" w:cs="Times New Roman" w:eastAsia="Times New Roman" w:hAnsi="Times New Roman"/>
        </w:rPr>
        <w:t xml:space="preserve">Our contributions are:</w:t>
      </w:r>
    </w:p>
    <w:p>
      <w:pPr>
        <w:spacing w:after="30"/>
        <w:ind w:left="202" w:hanging="0"/>
        <w:jc w:val="both"/>
      </w:pPr>
      <w:r>
        <w:rPr>
          <w:sz w:val="20"/>
          <w:szCs w:val="20"/>
          <w:rFonts w:ascii="Times New Roman" w:cs="Times New Roman" w:eastAsia="Times New Roman" w:hAnsi="Times New Roman"/>
        </w:rPr>
        <w:t xml:space="preserve">1) </w:t>
      </w:r>
      <w:r>
        <w:rPr>
          <w:b/>
          <w:bCs/>
          <w:sz w:val="20"/>
          <w:szCs w:val="20"/>
          <w:rFonts w:ascii="Times New Roman" w:cs="Times New Roman" w:eastAsia="Times New Roman" w:hAnsi="Times New Roman"/>
        </w:rPr>
        <w:t xml:space="preserve">Cascade architecture.</w:t>
      </w:r>
      <w:r>
        <w:rPr>
          <w:sz w:val="20"/>
          <w:szCs w:val="20"/>
          <w:rFonts w:ascii="Times New Roman" w:cs="Times New Roman" w:eastAsia="Times New Roman" w:hAnsi="Times New Roman"/>
        </w:rPr>
        <w:t xml:space="preserve"> A PCA-initialised projection (PIP) and a depthwise-separable stem shared by a sub-1K-parameter Sentinel exit and a distilled temporal Analyst exit, in a recurrent (R) and a recurrent-free (T) variant.</w:t>
      </w:r>
    </w:p>
    <w:p>
      <w:pPr>
        <w:spacing w:after="30"/>
        <w:ind w:left="202" w:hanging="0"/>
        <w:jc w:val="both"/>
      </w:pPr>
      <w:r>
        <w:rPr>
          <w:sz w:val="20"/>
          <w:szCs w:val="20"/>
          <w:rFonts w:ascii="Times New Roman" w:cs="Times New Roman" w:eastAsia="Times New Roman" w:hAnsi="Times New Roman"/>
        </w:rPr>
        <w:t xml:space="preserve">2) </w:t>
      </w:r>
      <w:r>
        <w:rPr>
          <w:b/>
          <w:bCs/>
          <w:sz w:val="20"/>
          <w:szCs w:val="20"/>
          <w:rFonts w:ascii="Times New Roman" w:cs="Times New Roman" w:eastAsia="Times New Roman" w:hAnsi="Times New Roman"/>
        </w:rPr>
        <w:t xml:space="preserve">Risk-controlled gate.</w:t>
      </w:r>
      <w:r>
        <w:rPr>
          <w:sz w:val="20"/>
          <w:szCs w:val="20"/>
          <w:rFonts w:ascii="Times New Roman" w:cs="Times New Roman" w:eastAsia="Times New Roman" w:hAnsi="Times New Roman"/>
        </w:rPr>
        <w:t xml:space="preserve"> Temperature scaling plus a Clopper–Pearson threshold that bounds the exit-induced miss rate by ε with confidence 1−α, implemented exactly (tie-safe in float32) with an explicit infeasibility rule.</w:t>
      </w:r>
    </w:p>
    <w:p>
      <w:pPr>
        <w:spacing w:after="30"/>
        <w:ind w:left="202" w:hanging="0"/>
        <w:jc w:val="both"/>
      </w:pPr>
      <w:r>
        <w:rPr>
          <w:sz w:val="20"/>
          <w:szCs w:val="20"/>
          <w:rFonts w:ascii="Times New Roman" w:cs="Times New Roman" w:eastAsia="Times New Roman" w:hAnsi="Times New Roman"/>
        </w:rPr>
        <w:t xml:space="preserve">3) </w:t>
      </w:r>
      <w:r>
        <w:rPr>
          <w:b/>
          <w:bCs/>
          <w:sz w:val="20"/>
          <w:szCs w:val="20"/>
          <w:rFonts w:ascii="Times New Roman" w:cs="Times New Roman" w:eastAsia="Times New Roman" w:hAnsi="Times New Roman"/>
        </w:rPr>
        <w:t xml:space="preserve">Ordered compression chain.</w:t>
      </w:r>
      <w:r>
        <w:rPr>
          <w:sz w:val="20"/>
          <w:szCs w:val="20"/>
          <w:rFonts w:ascii="Times New Roman" w:cs="Times New Roman" w:eastAsia="Times New Roman" w:hAnsi="Times New Roman"/>
        </w:rPr>
        <w:t xml:space="preserve"> Distillation, structured pruning, INT8 quantization-aware training and post-quantization re-calibration of the gate.</w:t>
      </w:r>
    </w:p>
    <w:p>
      <w:pPr>
        <w:spacing w:after="30"/>
        <w:ind w:left="202" w:hanging="0"/>
        <w:jc w:val="both"/>
      </w:pPr>
      <w:r>
        <w:rPr>
          <w:sz w:val="20"/>
          <w:szCs w:val="20"/>
          <w:rFonts w:ascii="Times New Roman" w:cs="Times New Roman" w:eastAsia="Times New Roman" w:hAnsi="Times New Roman"/>
        </w:rPr>
        <w:t xml:space="preserve">4) </w:t>
      </w:r>
      <w:r>
        <w:rPr>
          <w:b/>
          <w:bCs/>
          <w:sz w:val="20"/>
          <w:szCs w:val="20"/>
          <w:rFonts w:ascii="Times New Roman" w:cs="Times New Roman" w:eastAsia="Times New Roman" w:hAnsi="Times New Roman"/>
        </w:rPr>
        <w:t xml:space="preserve">Reproducible deep-learning benchmark.</w:t>
      </w:r>
      <w:r>
        <w:rPr>
          <w:sz w:val="20"/>
          <w:szCs w:val="20"/>
          <w:rFonts w:ascii="Times New Roman" w:cs="Times New Roman" w:eastAsia="Times New Roman" w:hAnsi="Times New Roman"/>
        </w:rPr>
        <w:t xml:space="preserve"> Leakage-safe device-level splits with a disjoint calibration split, eleven deep comparison models (including BiGRU, TCN and ResNet-1D) on one pipeline, MAC counting that includes recurrent layers, and a live dashboard where every model runs on the same replayed windows.</w:t>
      </w:r>
    </w:p>
    <w:p>
      <w:pPr>
        <w:keepNext/>
        <w:spacing w:before="200" w:after="100"/>
        <w:jc w:val="center"/>
      </w:pPr>
      <w:r>
        <w:rPr>
          <w:sz w:val="20"/>
          <w:szCs w:val="20"/>
          <w:smallCaps/>
          <w:rFonts w:ascii="Times New Roman" w:cs="Times New Roman" w:eastAsia="Times New Roman" w:hAnsi="Times New Roman"/>
        </w:rPr>
        <w:t xml:space="preserve">II. Related Work</w:t>
      </w:r>
    </w:p>
    <w:p>
      <w:pPr>
        <w:keepNext/>
        <w:spacing w:before="120" w:after="60"/>
      </w:pPr>
      <w:r>
        <w:rPr>
          <w:i/>
          <w:iCs/>
          <w:sz w:val="20"/>
          <w:szCs w:val="20"/>
          <w:rFonts w:ascii="Times New Roman" w:cs="Times New Roman" w:eastAsia="Times New Roman" w:hAnsi="Times New Roman"/>
        </w:rPr>
        <w:t xml:space="preserve">A. Deep learning for IoT intrusion and malware detection</w:t>
      </w:r>
    </w:p>
    <w:p>
      <w:pPr>
        <w:spacing w:after="0" w:before="0" w:line="228" w:lineRule="auto"/>
        <w:ind w:firstLine="202"/>
        <w:jc w:val="both"/>
      </w:pPr>
      <w:r>
        <w:rPr>
          <w:sz w:val="20"/>
          <w:szCs w:val="20"/>
          <w:rFonts w:ascii="Times New Roman" w:cs="Times New Roman" w:eastAsia="Times New Roman" w:hAnsi="Times New Roman"/>
        </w:rPr>
        <w:t xml:space="preserve">Recurrent networks are the most common deep detectors for IoT traffic. Wang </w:t>
      </w:r>
      <w:r>
        <w:rPr>
          <w:i/>
          <w:iCs/>
          <w:sz w:val="20"/>
          <w:szCs w:val="20"/>
          <w:rFonts w:ascii="Times New Roman" w:cs="Times New Roman" w:eastAsia="Times New Roman" w:hAnsi="Times New Roman"/>
        </w:rPr>
        <w:t xml:space="preserve">et al.</w:t>
      </w:r>
      <w:r>
        <w:rPr>
          <w:sz w:val="20"/>
          <w:szCs w:val="20"/>
          <w:rFonts w:ascii="Times New Roman" w:cs="Times New Roman" w:eastAsia="Times New Roman" w:hAnsi="Times New Roman"/>
        </w:rPr>
        <w:t xml:space="preserve"> [5] reduce inputs with incremental PCA and apply dynamic quantization to a DNN-BiLSTM, and Jouhari and Guizani [3] propose a lightweight CNN-BiLSTM, which motivates our teacher. Katib </w:t>
      </w:r>
      <w:r>
        <w:rPr>
          <w:i/>
          <w:iCs/>
          <w:sz w:val="20"/>
          <w:szCs w:val="20"/>
          <w:rFonts w:ascii="Times New Roman" w:cs="Times New Roman" w:eastAsia="Times New Roman" w:hAnsi="Times New Roman"/>
        </w:rPr>
        <w:t xml:space="preserve">et al.</w:t>
      </w:r>
      <w:r>
        <w:rPr>
          <w:sz w:val="20"/>
          <w:szCs w:val="20"/>
          <w:rFonts w:ascii="Times New Roman" w:cs="Times New Roman" w:eastAsia="Times New Roman" w:hAnsi="Times New Roman"/>
        </w:rPr>
        <w:t xml:space="preserve"> [8] tune a BiLSTM with metaheuristics under a TinyML objective. Transformer-based detectors reach high accuracy on malware benchmarks [2] but ignore resource cost, and Pai </w:t>
      </w:r>
      <w:r>
        <w:rPr>
          <w:i/>
          <w:iCs/>
          <w:sz w:val="20"/>
          <w:szCs w:val="20"/>
          <w:rFonts w:ascii="Times New Roman" w:cs="Times New Roman" w:eastAsia="Times New Roman" w:hAnsi="Times New Roman"/>
        </w:rPr>
        <w:t xml:space="preserve">et al.</w:t>
      </w:r>
      <w:r>
        <w:rPr>
          <w:sz w:val="20"/>
          <w:szCs w:val="20"/>
          <w:rFonts w:ascii="Times New Roman" w:cs="Times New Roman" w:eastAsia="Times New Roman" w:hAnsi="Times New Roman"/>
        </w:rPr>
        <w:t xml:space="preserve"> [9] show that an L1-regularised MLP (SNIPE) is competitive on IoT-23 at a fraction of the cost. Temporal convolutional networks [10] and residual convolutional networks [11] are strong sequence models that we add to the comparison together with GRUs [12].</w:t>
      </w:r>
    </w:p>
    <w:p>
      <w:pPr>
        <w:keepNext/>
        <w:spacing w:before="120" w:after="60"/>
      </w:pPr>
      <w:r>
        <w:rPr>
          <w:i/>
          <w:iCs/>
          <w:sz w:val="20"/>
          <w:szCs w:val="20"/>
          <w:rFonts w:ascii="Times New Roman" w:cs="Times New Roman" w:eastAsia="Times New Roman" w:hAnsi="Times New Roman"/>
        </w:rPr>
        <w:t xml:space="preserve">B. Compression and early exit</w:t>
      </w:r>
    </w:p>
    <w:p>
      <w:pPr>
        <w:spacing w:after="0" w:before="0" w:line="228" w:lineRule="auto"/>
        <w:ind w:firstLine="202"/>
        <w:jc w:val="both"/>
      </w:pPr>
      <w:r>
        <w:rPr>
          <w:sz w:val="20"/>
          <w:szCs w:val="20"/>
          <w:rFonts w:ascii="Times New Roman" w:cs="Times New Roman" w:eastAsia="Times New Roman" w:hAnsi="Times New Roman"/>
        </w:rPr>
        <w:t xml:space="preserve">Knowledge distillation [13], pruning [14] and integer quantization [15] shrink a model uniformly. Early-exit networks [7] attach classifiers to intermediate layers and stop when an exit is confident, but confidence thresholds are usually set by hand. Modern networks are often miscalibrated [16], so a fixed threshold gives no control over the errors that early exit introduces.</w:t>
      </w:r>
    </w:p>
    <w:p>
      <w:pPr>
        <w:keepNext/>
        <w:spacing w:before="120" w:after="60"/>
      </w:pPr>
      <w:r>
        <w:rPr>
          <w:i/>
          <w:iCs/>
          <w:sz w:val="20"/>
          <w:szCs w:val="20"/>
          <w:rFonts w:ascii="Times New Roman" w:cs="Times New Roman" w:eastAsia="Times New Roman" w:hAnsi="Times New Roman"/>
        </w:rPr>
        <w:t xml:space="preserve">C. Distribution-free risk control</w:t>
      </w:r>
    </w:p>
    <w:p>
      <w:pPr>
        <w:spacing w:after="0" w:before="0" w:line="228" w:lineRule="auto"/>
        <w:ind w:firstLine="202"/>
        <w:jc w:val="both"/>
      </w:pPr>
      <w:r>
        <w:rPr>
          <w:sz w:val="20"/>
          <w:szCs w:val="20"/>
          <w:rFonts w:ascii="Times New Roman" w:cs="Times New Roman" w:eastAsia="Times New Roman" w:hAnsi="Times New Roman"/>
        </w:rPr>
        <w:t xml:space="preserve">Conformal and risk-controlling methods choose thresholds on a held-out calibration set so that a risk is bounded under exchangeability [17]. We apply this idea to the exit decision itself: the risk is the rate of malicious windows that the Analyst would have caught but the Sentinel released as benign, bounded with an exact binomial (Clopper–Pearson) upper confidence limit [18].</w:t>
      </w:r>
    </w:p>
    <w:p>
      <w:pPr>
        <w:keepNext/>
        <w:spacing w:before="200" w:after="100"/>
        <w:jc w:val="center"/>
      </w:pPr>
      <w:r>
        <w:rPr>
          <w:sz w:val="20"/>
          <w:szCs w:val="20"/>
          <w:smallCaps/>
          <w:rFonts w:ascii="Times New Roman" w:cs="Times New Roman" w:eastAsia="Times New Roman" w:hAnsi="Times New Roman"/>
        </w:rPr>
        <w:t xml:space="preserve">III. Problem Formulation</w:t>
      </w:r>
    </w:p>
    <w:p>
      <w:pPr>
        <w:spacing w:after="0" w:before="0" w:line="228" w:lineRule="auto"/>
        <w:ind w:firstLine="202"/>
        <w:jc w:val="both"/>
      </w:pPr>
      <w:r>
        <w:rPr>
          <w:sz w:val="20"/>
          <w:szCs w:val="20"/>
          <w:rFonts w:ascii="Times New Roman" w:cs="Times New Roman" w:eastAsia="Times New Roman" w:hAnsi="Times New Roman"/>
        </w:rPr>
        <w:t xml:space="preserve">A device observes records x</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ℝ</w:t>
      </w:r>
      <w:r>
        <w:rPr>
          <w:sz w:val="20"/>
          <w:szCs w:val="20"/>
          <w:vertAlign w:val="superscript"/>
          <w:rFonts w:ascii="Times New Roman" w:cs="Times New Roman" w:eastAsia="Times New Roman" w:hAnsi="Times New Roman"/>
        </w:rPr>
        <w:t xml:space="preserve">F</w:t>
      </w:r>
      <w:r>
        <w:rPr>
          <w:sz w:val="20"/>
          <w:szCs w:val="20"/>
          <w:rFonts w:ascii="Times New Roman" w:cs="Times New Roman" w:eastAsia="Times New Roman" w:hAnsi="Times New Roman"/>
        </w:rPr>
        <w:t xml:space="preserve"> of flow statistics. A window X</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[x</w:t>
      </w:r>
      <w:r>
        <w:rPr>
          <w:sz w:val="20"/>
          <w:szCs w:val="20"/>
          <w:vertAlign w:val="subscript"/>
          <w:rFonts w:ascii="Times New Roman" w:cs="Times New Roman" w:eastAsia="Times New Roman" w:hAnsi="Times New Roman"/>
        </w:rPr>
        <w:t xml:space="preserve">t−T+1</w:t>
      </w:r>
      <w:r>
        <w:rPr>
          <w:sz w:val="20"/>
          <w:szCs w:val="20"/>
          <w:rFonts w:ascii="Times New Roman" w:cs="Times New Roman" w:eastAsia="Times New Roman" w:hAnsi="Times New Roman"/>
        </w:rPr>
        <w:t xml:space="preserve">, …, x</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of T = 10 records receives the label y ∈ {0, 1} of its last record (0 = benign), so it can be classified as soon as that record arrives. We seek a classifier with high macro-F1 and malicious recall that minimises expected compute, subject to a bound on the additional misses introduced by exiting early. Design targets for F = 115 are at most 40K parameters and a 64 KB INT8 model.</w:t>
      </w:r>
    </w:p>
    <w:p>
      <w:pPr>
        <w:keepNext/>
        <w:spacing w:before="200" w:after="100"/>
        <w:jc w:val="center"/>
      </w:pPr>
      <w:r>
        <w:rPr>
          <w:sz w:val="20"/>
          <w:szCs w:val="20"/>
          <w:smallCaps/>
          <w:rFonts w:ascii="Times New Roman" w:cs="Times New Roman" w:eastAsia="Times New Roman" w:hAnsi="Times New Roman"/>
        </w:rPr>
        <w:t xml:space="preserve">IV. LiteCascade</w:t>
      </w:r>
    </w:p>
    <w:p>
      <w:pPr>
        <w:keepNext/>
        <w:spacing w:before="120"/>
        <w:jc w:val="center"/>
      </w:pPr>
      <w:r>
        <w:drawing>
          <wp:inline distT="0" distB="0" distL="0" distR="0">
            <wp:extent cx="3048000" cy="1895475"/>
            <wp:effectExtent t="0" r="0" b="0" l="0"/>
            <wp:docPr id="1" name="fig1_architecture.png" descr="LiteCascade. Every window passes the PIP layer, the shared stem and the Sentinel; the gate either releases it (early exit) or sends the stem features to the Analyst."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048000" cy="1895475"/>
                    </a:xfrm>
                    <a:prstGeom prst="rect">
                      <a:avLst/>
                    </a:prstGeom>
                  </pic:spPr>
                </pic:pic>
              </a:graphicData>
            </a:graphic>
          </wp:inline>
        </w:drawing>
      </w:r>
    </w:p>
    <w:p>
      <w:pPr>
        <w:spacing w:before="40" w:after="140"/>
        <w:jc w:val="both"/>
      </w:pPr>
      <w:r>
        <w:rPr>
          <w:sz w:val="16"/>
          <w:szCs w:val="16"/>
          <w:rFonts w:ascii="Times New Roman" w:cs="Times New Roman" w:eastAsia="Times New Roman" w:hAnsi="Times New Roman"/>
        </w:rPr>
        <w:t xml:space="preserve">Fig. 1. </w:t>
      </w:r>
      <w:r>
        <w:rPr>
          <w:sz w:val="16"/>
          <w:szCs w:val="16"/>
          <w:rFonts w:ascii="Times New Roman" w:cs="Times New Roman" w:eastAsia="Times New Roman" w:hAnsi="Times New Roman"/>
        </w:rPr>
        <w:t xml:space="preserve">LiteCascade. Every window passes the PIP layer, the shared stem and the Sentinel; the gate either releases it (early exit) or sends the stem features to the Analyst.</w:t>
      </w:r>
    </w:p>
    <w:p>
      <w:pPr>
        <w:keepNext/>
        <w:spacing w:before="120" w:after="60"/>
      </w:pPr>
      <w:r>
        <w:rPr>
          <w:i/>
          <w:iCs/>
          <w:sz w:val="20"/>
          <w:szCs w:val="20"/>
          <w:rFonts w:ascii="Times New Roman" w:cs="Times New Roman" w:eastAsia="Times New Roman" w:hAnsi="Times New Roman"/>
        </w:rPr>
        <w:t xml:space="preserve">A. PCA-initialised projection (PIP)</w:t>
      </w:r>
    </w:p>
    <w:p>
      <w:pPr>
        <w:spacing w:after="0" w:before="0" w:line="228" w:lineRule="auto"/>
        <w:ind w:firstLine="202"/>
        <w:jc w:val="both"/>
      </w:pPr>
      <w:r>
        <w:rPr>
          <w:sz w:val="20"/>
          <w:szCs w:val="20"/>
          <w:rFonts w:ascii="Times New Roman" w:cs="Times New Roman" w:eastAsia="Times New Roman" w:hAnsi="Times New Roman"/>
        </w:rPr>
        <w:t xml:space="preserve">Instead of a fixed PCA pre-processing step [5], the projection is a trainable layer initialised with the top-d principal axes W</w:t>
      </w:r>
      <w:r>
        <w:rPr>
          <w:sz w:val="20"/>
          <w:szCs w:val="20"/>
          <w:vertAlign w:val="subscript"/>
          <w:rFonts w:ascii="Times New Roman" w:cs="Times New Roman" w:eastAsia="Times New Roman" w:hAnsi="Times New Roman"/>
        </w:rPr>
        <w:t xml:space="preserve">p</w:t>
      </w:r>
      <w:r>
        <w:rPr>
          <w:sz w:val="20"/>
          <w:szCs w:val="20"/>
          <w:rFonts w:ascii="Times New Roman" w:cs="Times New Roman" w:eastAsia="Times New Roman" w:hAnsi="Times New Roman"/>
        </w:rPr>
        <w:t xml:space="preserve"> and the mean μ of the scaled training records:</w:t>
      </w:r>
    </w:p>
    <w:p>
      <w:pPr>
        <w:tabs>
          <w:tab w:val="center" w:pos="2520"/>
          <w:tab w:val="right" w:pos="5040"/>
        </w:tabs>
        <w:spacing w:before="60" w:after="60"/>
      </w:pPr>
      <w:r>
        <w:rPr>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z</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W</w:t>
      </w:r>
      <w:r>
        <w:rPr>
          <w:sz w:val="20"/>
          <w:szCs w:val="20"/>
          <w:vertAlign w:val="subscript"/>
          <w:rFonts w:ascii="Times New Roman" w:cs="Times New Roman" w:eastAsia="Times New Roman" w:hAnsi="Times New Roman"/>
        </w:rPr>
        <w:t xml:space="preserve">p</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x</w:t>
      </w:r>
      <w:r>
        <w:rPr>
          <w:sz w:val="20"/>
          <w:szCs w:val="20"/>
          <w:vertAlign w:val="subscript"/>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μ</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W</w:t>
      </w:r>
      <w:r>
        <w:rPr>
          <w:sz w:val="20"/>
          <w:szCs w:val="20"/>
          <w:vertAlign w:val="subscript"/>
          <w:rFonts w:ascii="Times New Roman" w:cs="Times New Roman" w:eastAsia="Times New Roman" w:hAnsi="Times New Roman"/>
        </w:rPr>
        <w:t xml:space="preserve">p</w:t>
      </w:r>
      <w:r>
        <w:rPr>
          <w:sz w:val="20"/>
          <w:szCs w:val="20"/>
          <w:rFonts w:ascii="Times New Roman" w:cs="Times New Roman" w:eastAsia="Times New Roman" w:hAnsi="Times New Roman"/>
        </w:rPr>
        <w:t xml:space="preserve"> ∈ ℝ</w:t>
      </w:r>
      <w:r>
        <w:rPr>
          <w:sz w:val="20"/>
          <w:szCs w:val="20"/>
          <w:vertAlign w:val="superscript"/>
          <w:rFonts w:ascii="Times New Roman" w:cs="Times New Roman" w:eastAsia="Times New Roman" w:hAnsi="Times New Roman"/>
        </w:rPr>
        <w:t xml:space="preserve">d×F</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 xml:space="preserve">	(1)</w:t>
      </w:r>
    </w:p>
    <w:p>
      <w:pPr>
        <w:spacing w:after="0" w:before="0" w:line="228" w:lineRule="auto"/>
        <w:ind w:firstLine="202"/>
        <w:jc w:val="both"/>
      </w:pPr>
      <w:r>
        <w:rPr>
          <w:sz w:val="20"/>
          <w:szCs w:val="20"/>
          <w:rFonts w:ascii="Times New Roman" w:cs="Times New Roman" w:eastAsia="Times New Roman" w:hAnsi="Times New Roman"/>
        </w:rPr>
        <w:t xml:space="preserve">It is frozen for three warm-up epochs so that randomly initialised layers above it cannot destroy the information-preserving initialisation, and is then fine-tuned with the rest of the network.</w:t>
      </w:r>
    </w:p>
    <w:p>
      <w:pPr>
        <w:keepNext/>
        <w:spacing w:before="120" w:after="60"/>
      </w:pPr>
      <w:r>
        <w:rPr>
          <w:i/>
          <w:iCs/>
          <w:sz w:val="20"/>
          <w:szCs w:val="20"/>
          <w:rFonts w:ascii="Times New Roman" w:cs="Times New Roman" w:eastAsia="Times New Roman" w:hAnsi="Times New Roman"/>
        </w:rPr>
        <w:t xml:space="preserve">B. Shared stem and Sentinel exit</w:t>
      </w:r>
    </w:p>
    <w:p>
      <w:pPr>
        <w:spacing w:after="0" w:before="0" w:line="228" w:lineRule="auto"/>
        <w:ind w:firstLine="202"/>
        <w:jc w:val="both"/>
      </w:pPr>
      <w:r>
        <w:rPr>
          <w:sz w:val="20"/>
          <w:szCs w:val="20"/>
          <w:rFonts w:ascii="Times New Roman" w:cs="Times New Roman" w:eastAsia="Times New Roman" w:hAnsi="Times New Roman"/>
        </w:rPr>
        <w:t xml:space="preserve">The stem is one depthwise-separable 1-D convolution over time (kernel 3, d = 32 → c = 24 channels, BatchNorm, ReLU6) [19]. The Sentinel adds one more depthwise-separable block, global average pooling (GAP) and a linear layer:</w:t>
      </w:r>
    </w:p>
    <w:p>
      <w:pPr>
        <w:tabs>
          <w:tab w:val="center" w:pos="2520"/>
          <w:tab w:val="right" w:pos="5040"/>
        </w:tabs>
        <w:spacing w:before="60" w:after="60"/>
      </w:pPr>
      <w:r>
        <w:rPr>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p</w:t>
      </w:r>
      <w:r>
        <w:rPr>
          <w:sz w:val="20"/>
          <w:szCs w:val="20"/>
          <w:vertAlign w:val="subscript"/>
          <w:rFonts w:ascii="Times New Roman" w:cs="Times New Roman" w:eastAsia="Times New Roman" w:hAnsi="Times New Roman"/>
        </w:rPr>
        <w:t xml:space="preserve">1</w:t>
      </w:r>
      <w:r>
        <w:rPr>
          <w:sz w:val="20"/>
          <w:szCs w:val="20"/>
          <w:rFonts w:ascii="Times New Roman" w:cs="Times New Roman" w:eastAsia="Times New Roman" w:hAnsi="Times New Roman"/>
        </w:rPr>
        <w:t xml:space="preserve"> = softmax(</w:t>
      </w:r>
      <w:r>
        <w:rPr>
          <w:i/>
          <w:iCs/>
          <w:sz w:val="20"/>
          <w:szCs w:val="20"/>
          <w:rFonts w:ascii="Times New Roman" w:cs="Times New Roman" w:eastAsia="Times New Roman" w:hAnsi="Times New Roman"/>
        </w:rPr>
        <w:t xml:space="preserve">W</w:t>
      </w:r>
      <w:r>
        <w:rPr>
          <w:sz w:val="20"/>
          <w:szCs w:val="20"/>
          <w:vertAlign w:val="subscript"/>
          <w:rFonts w:ascii="Times New Roman" w:cs="Times New Roman" w:eastAsia="Times New Roman" w:hAnsi="Times New Roman"/>
        </w:rPr>
        <w:t xml:space="preserve">1</w:t>
      </w:r>
      <w:r>
        <w:rPr>
          <w:sz w:val="20"/>
          <w:szCs w:val="20"/>
          <w:rFonts w:ascii="Times New Roman" w:cs="Times New Roman" w:eastAsia="Times New Roman" w:hAnsi="Times New Roman"/>
        </w:rPr>
        <w:t xml:space="preserve"> GAP(</w:t>
      </w:r>
      <w:r>
        <w:rPr>
          <w:i/>
          <w:iCs/>
          <w:sz w:val="20"/>
          <w:szCs w:val="20"/>
          <w:rFonts w:ascii="Times New Roman" w:cs="Times New Roman" w:eastAsia="Times New Roman" w:hAnsi="Times New Roman"/>
        </w:rPr>
        <w:t xml:space="preserve">H</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T</w:t>
      </w:r>
      <w:r>
        <w:rPr>
          <w:sz w:val="20"/>
          <w:szCs w:val="20"/>
          <w:vertAlign w:val="subscript"/>
          <w:rFonts w:ascii="Times New Roman" w:cs="Times New Roman" w:eastAsia="Times New Roman" w:hAnsi="Times New Roman"/>
        </w:rPr>
        <w:t xml:space="preserve">1</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 xml:space="preserve">	(2)</w:t>
      </w:r>
    </w:p>
    <w:p>
      <w:pPr>
        <w:spacing w:after="0" w:before="0" w:line="228" w:lineRule="auto"/>
        <w:ind w:firstLine="202"/>
        <w:jc w:val="both"/>
      </w:pPr>
      <w:r>
        <w:rPr>
          <w:sz w:val="20"/>
          <w:szCs w:val="20"/>
          <w:rFonts w:ascii="Times New Roman" w:cs="Times New Roman" w:eastAsia="Times New Roman" w:hAnsi="Times New Roman"/>
        </w:rPr>
        <w:t xml:space="preserve">where the temperature T</w:t>
      </w:r>
      <w:r>
        <w:rPr>
          <w:sz w:val="20"/>
          <w:szCs w:val="20"/>
          <w:vertAlign w:val="subscript"/>
          <w:rFonts w:ascii="Times New Roman" w:cs="Times New Roman" w:eastAsia="Times New Roman" w:hAnsi="Times New Roman"/>
        </w:rPr>
        <w:t xml:space="preserve">1</w:t>
      </w:r>
      <w:r>
        <w:rPr>
          <w:sz w:val="20"/>
          <w:szCs w:val="20"/>
          <w:rFonts w:ascii="Times New Roman" w:cs="Times New Roman" w:eastAsia="Times New Roman" w:hAnsi="Times New Roman"/>
        </w:rPr>
        <w:t xml:space="preserve"> is fitted afterwards on the calibration split by minimising the negative log-likelihood [16]. It is a buffer, not a trained parameter, and is optimised in log-space so that T</w:t>
      </w:r>
      <w:r>
        <w:rPr>
          <w:sz w:val="20"/>
          <w:szCs w:val="20"/>
          <w:vertAlign w:val="subscript"/>
          <w:rFonts w:ascii="Times New Roman" w:cs="Times New Roman" w:eastAsia="Times New Roman" w:hAnsi="Times New Roman"/>
        </w:rPr>
        <w:t xml:space="preserve">1</w:t>
      </w:r>
      <w:r>
        <w:rPr>
          <w:sz w:val="20"/>
          <w:szCs w:val="20"/>
          <w:rFonts w:ascii="Times New Roman" w:cs="Times New Roman" w:eastAsia="Times New Roman" w:hAnsi="Times New Roman"/>
        </w:rPr>
        <w:t xml:space="preserve"> &gt; 0 and predictions are unchanged.</w:t>
      </w:r>
    </w:p>
    <w:p>
      <w:pPr>
        <w:keepNext/>
        <w:spacing w:before="120" w:after="60"/>
      </w:pPr>
      <w:r>
        <w:rPr>
          <w:i/>
          <w:iCs/>
          <w:sz w:val="20"/>
          <w:szCs w:val="20"/>
          <w:rFonts w:ascii="Times New Roman" w:cs="Times New Roman" w:eastAsia="Times New Roman" w:hAnsi="Times New Roman"/>
        </w:rPr>
        <w:t xml:space="preserve">C. Analyst exit</w:t>
      </w:r>
    </w:p>
    <w:p>
      <w:pPr>
        <w:spacing w:after="0" w:before="0" w:line="228" w:lineRule="auto"/>
        <w:ind w:firstLine="202"/>
        <w:jc w:val="both"/>
      </w:pPr>
      <w:r>
        <w:rPr>
          <w:sz w:val="20"/>
          <w:szCs w:val="20"/>
          <w:rFonts w:ascii="Times New Roman" w:cs="Times New Roman" w:eastAsia="Times New Roman" w:hAnsi="Times New Roman"/>
        </w:rPr>
        <w:t xml:space="preserve">The Analyst reuses the stem features. It applies two residual inverted-bottleneck depthwise-separable TCN blocks (dilations 1 and 2, expansion 2) [19], [10], a bidirectional GRU with 24 hidden units in variant R (omitted in variant T because recurrent layers are poorly supported by microcontroller runtimes), attention pooling and a linear layer, giving p</w:t>
      </w:r>
      <w:r>
        <w:rPr>
          <w:sz w:val="20"/>
          <w:szCs w:val="20"/>
          <w:vertAlign w:val="subscript"/>
          <w:rFonts w:ascii="Times New Roman" w:cs="Times New Roman" w:eastAsia="Times New Roman" w:hAnsi="Times New Roman"/>
        </w:rPr>
        <w:t xml:space="preserve">2</w:t>
      </w:r>
      <w:r>
        <w:rPr>
          <w:sz w:val="20"/>
          <w:szCs w:val="20"/>
          <w:rFonts w:ascii="Times New Roman" w:cs="Times New Roman" w:eastAsia="Times New Roman" w:hAnsi="Times New Roman"/>
        </w:rPr>
        <w:t xml:space="preserve"> = softmax(z</w:t>
      </w:r>
      <w:r>
        <w:rPr>
          <w:sz w:val="20"/>
          <w:szCs w:val="20"/>
          <w:vertAlign w:val="subscript"/>
          <w:rFonts w:ascii="Times New Roman" w:cs="Times New Roman" w:eastAsia="Times New Roman" w:hAnsi="Times New Roman"/>
        </w:rPr>
        <w:t xml:space="preserve">2</w:t>
      </w:r>
      <w:r>
        <w:rPr>
          <w:sz w:val="20"/>
          <w:szCs w:val="20"/>
          <w:rFonts w:ascii="Times New Roman" w:cs="Times New Roman" w:eastAsia="Times New Roman" w:hAnsi="Times New Roman"/>
        </w:rPr>
        <w:t xml:space="preserve">/T</w:t>
      </w:r>
      <w:r>
        <w:rPr>
          <w:sz w:val="20"/>
          <w:szCs w:val="20"/>
          <w:vertAlign w:val="subscript"/>
          <w:rFonts w:ascii="Times New Roman" w:cs="Times New Roman" w:eastAsia="Times New Roman" w:hAnsi="Times New Roman"/>
        </w:rPr>
        <w:t xml:space="preserve">2</w:t>
      </w:r>
      <w:r>
        <w:rPr>
          <w:sz w:val="20"/>
          <w:szCs w:val="20"/>
          <w:rFonts w:ascii="Times New Roman" w:cs="Times New Roman" w:eastAsia="Times New Roman" w:hAnsi="Times New Roman"/>
        </w:rPr>
        <w:t xml:space="preserve">).</w:t>
      </w:r>
    </w:p>
    <w:p>
      <w:pPr>
        <w:keepNext/>
        <w:spacing w:before="120" w:after="60"/>
      </w:pPr>
      <w:r>
        <w:rPr>
          <w:i/>
          <w:iCs/>
          <w:sz w:val="20"/>
          <w:szCs w:val="20"/>
          <w:rFonts w:ascii="Times New Roman" w:cs="Times New Roman" w:eastAsia="Times New Roman" w:hAnsi="Times New Roman"/>
        </w:rPr>
        <w:t xml:space="preserve">D. Risk-controlled asymmetric gate</w:t>
      </w:r>
    </w:p>
    <w:p>
      <w:pPr>
        <w:spacing w:after="0" w:before="0" w:line="228" w:lineRule="auto"/>
        <w:ind w:firstLine="202"/>
        <w:jc w:val="both"/>
      </w:pPr>
      <w:r>
        <w:rPr>
          <w:sz w:val="20"/>
          <w:szCs w:val="20"/>
          <w:rFonts w:ascii="Times New Roman" w:cs="Times New Roman" w:eastAsia="Times New Roman" w:hAnsi="Times New Roman"/>
        </w:rPr>
        <w:t xml:space="preserve">Let ŷ</w:t>
      </w:r>
      <w:r>
        <w:rPr>
          <w:sz w:val="20"/>
          <w:szCs w:val="20"/>
          <w:vertAlign w:val="subscript"/>
          <w:rFonts w:ascii="Times New Roman" w:cs="Times New Roman" w:eastAsia="Times New Roman" w:hAnsi="Times New Roman"/>
        </w:rPr>
        <w:t xml:space="preserve">1</w:t>
      </w:r>
      <w:r>
        <w:rPr>
          <w:sz w:val="20"/>
          <w:szCs w:val="20"/>
          <w:rFonts w:ascii="Times New Roman" w:cs="Times New Roman" w:eastAsia="Times New Roman" w:hAnsi="Times New Roman"/>
        </w:rPr>
        <w:t xml:space="preserve"> = argmax p</w:t>
      </w:r>
      <w:r>
        <w:rPr>
          <w:sz w:val="20"/>
          <w:szCs w:val="20"/>
          <w:vertAlign w:val="subscript"/>
          <w:rFonts w:ascii="Times New Roman" w:cs="Times New Roman" w:eastAsia="Times New Roman" w:hAnsi="Times New Roman"/>
        </w:rPr>
        <w:t xml:space="preserve">1</w:t>
      </w:r>
      <w:r>
        <w:rPr>
          <w:sz w:val="20"/>
          <w:szCs w:val="20"/>
          <w:rFonts w:ascii="Times New Roman" w:cs="Times New Roman" w:eastAsia="Times New Roman" w:hAnsi="Times New Roman"/>
        </w:rPr>
        <w:t xml:space="preserve">. A window exits at the Sentinel if and only if</w:t>
      </w:r>
    </w:p>
    <w:p>
      <w:pPr>
        <w:tabs>
          <w:tab w:val="center" w:pos="2520"/>
          <w:tab w:val="right" w:pos="5040"/>
        </w:tabs>
        <w:spacing w:before="60" w:after="60"/>
      </w:pPr>
      <w:r>
        <w:rPr>
          <w:rFonts w:ascii="Times New Roman" w:cs="Times New Roman" w:eastAsia="Times New Roman" w:hAnsi="Times New Roman"/>
        </w:rPr>
        <w:t xml:space="preserve">	</w:t>
      </w:r>
      <w:r>
        <w:rPr>
          <w:sz w:val="20"/>
          <w:szCs w:val="20"/>
          <w:rFonts w:ascii="Times New Roman" w:cs="Times New Roman" w:eastAsia="Times New Roman" w:hAnsi="Times New Roman"/>
        </w:rPr>
        <w:t xml:space="preserve">(ŷ</w:t>
      </w:r>
      <w:r>
        <w:rPr>
          <w:sz w:val="20"/>
          <w:szCs w:val="20"/>
          <w:vertAlign w:val="subscript"/>
          <w:rFonts w:ascii="Times New Roman" w:cs="Times New Roman" w:eastAsia="Times New Roman" w:hAnsi="Times New Roman"/>
        </w:rPr>
        <w:t xml:space="preserve">1</w:t>
      </w:r>
      <w:r>
        <w:rPr>
          <w:sz w:val="20"/>
          <w:szCs w:val="20"/>
          <w:rFonts w:ascii="Times New Roman" w:cs="Times New Roman" w:eastAsia="Times New Roman" w:hAnsi="Times New Roman"/>
        </w:rPr>
        <w:t xml:space="preserve"> = 0 ∧ </w:t>
      </w:r>
      <w:r>
        <w:rPr>
          <w:i/>
          <w:iCs/>
          <w:sz w:val="20"/>
          <w:szCs w:val="20"/>
          <w:rFonts w:ascii="Times New Roman" w:cs="Times New Roman" w:eastAsia="Times New Roman" w:hAnsi="Times New Roman"/>
        </w:rPr>
        <w:t xml:space="preserve">p</w:t>
      </w:r>
      <w:r>
        <w:rPr>
          <w:sz w:val="20"/>
          <w:szCs w:val="20"/>
          <w:vertAlign w:val="subscript"/>
          <w:rFonts w:ascii="Times New Roman" w:cs="Times New Roman" w:eastAsia="Times New Roman" w:hAnsi="Times New Roman"/>
        </w:rPr>
        <w:t xml:space="preserve">1,0</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τ</w:t>
      </w:r>
      <w:r>
        <w:rPr>
          <w:sz w:val="20"/>
          <w:szCs w:val="20"/>
          <w:vertAlign w:val="subscript"/>
          <w:rFonts w:ascii="Times New Roman" w:cs="Times New Roman" w:eastAsia="Times New Roman" w:hAnsi="Times New Roman"/>
        </w:rPr>
        <w:t xml:space="preserve">b</w:t>
      </w:r>
      <w:r>
        <w:rPr>
          <w:sz w:val="20"/>
          <w:szCs w:val="20"/>
          <w:rFonts w:ascii="Times New Roman" w:cs="Times New Roman" w:eastAsia="Times New Roman" w:hAnsi="Times New Roman"/>
        </w:rPr>
        <w:t xml:space="preserve">) ∨ (ŷ</w:t>
      </w:r>
      <w:r>
        <w:rPr>
          <w:sz w:val="20"/>
          <w:szCs w:val="20"/>
          <w:vertAlign w:val="subscript"/>
          <w:rFonts w:ascii="Times New Roman" w:cs="Times New Roman" w:eastAsia="Times New Roman" w:hAnsi="Times New Roman"/>
        </w:rPr>
        <w:t xml:space="preserve">1</w:t>
      </w:r>
      <w:r>
        <w:rPr>
          <w:sz w:val="20"/>
          <w:szCs w:val="20"/>
          <w:rFonts w:ascii="Times New Roman" w:cs="Times New Roman" w:eastAsia="Times New Roman" w:hAnsi="Times New Roman"/>
        </w:rPr>
        <w:t xml:space="preserve"> ≠ 0 ∧ max </w:t>
      </w:r>
      <w:r>
        <w:rPr>
          <w:i/>
          <w:iCs/>
          <w:sz w:val="20"/>
          <w:szCs w:val="20"/>
          <w:rFonts w:ascii="Times New Roman" w:cs="Times New Roman" w:eastAsia="Times New Roman" w:hAnsi="Times New Roman"/>
        </w:rPr>
        <w:t xml:space="preserve">p</w:t>
      </w:r>
      <w:r>
        <w:rPr>
          <w:sz w:val="20"/>
          <w:szCs w:val="20"/>
          <w:vertAlign w:val="subscript"/>
          <w:rFonts w:ascii="Times New Roman" w:cs="Times New Roman" w:eastAsia="Times New Roman" w:hAnsi="Times New Roman"/>
        </w:rPr>
        <w:t xml:space="preserve">1</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τ</w:t>
      </w:r>
      <w:r>
        <w:rPr>
          <w:sz w:val="20"/>
          <w:szCs w:val="20"/>
          <w:vertAlign w:val="subscript"/>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 xml:space="preserve">	(3)</w:t>
      </w:r>
    </w:p>
    <w:p>
      <w:pPr>
        <w:spacing w:after="0" w:before="0" w:line="228" w:lineRule="auto"/>
        <w:ind w:firstLine="202"/>
        <w:jc w:val="both"/>
      </w:pPr>
      <w:r>
        <w:rPr>
          <w:sz w:val="20"/>
          <w:szCs w:val="20"/>
          <w:rFonts w:ascii="Times New Roman" w:cs="Times New Roman" w:eastAsia="Times New Roman" w:hAnsi="Times New Roman"/>
        </w:rPr>
        <w:t xml:space="preserve">A malicious calibration window counts as an exit-induced miss at threshold τ if it exits benign while the Analyst would have flagged it. With m(τ) such windows among N</w:t>
      </w:r>
      <w:r>
        <w:rPr>
          <w:sz w:val="20"/>
          <w:szCs w:val="20"/>
          <w:vertAlign w:val="subscript"/>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malicious calibration windows we select</w:t>
      </w:r>
    </w:p>
    <w:p>
      <w:pPr>
        <w:tabs>
          <w:tab w:val="center" w:pos="2520"/>
          <w:tab w:val="right" w:pos="5040"/>
        </w:tabs>
        <w:spacing w:before="60" w:after="60"/>
      </w:pPr>
      <w:r>
        <w:rPr>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τ</w:t>
      </w:r>
      <w:r>
        <w:rPr>
          <w:sz w:val="20"/>
          <w:szCs w:val="20"/>
          <w:vertAlign w:val="subscript"/>
          <w:rFonts w:ascii="Times New Roman" w:cs="Times New Roman" w:eastAsia="Times New Roman" w:hAnsi="Times New Roman"/>
        </w:rPr>
        <w:t xml:space="preserve">b</w:t>
      </w:r>
      <w:r>
        <w:rPr>
          <w:sz w:val="20"/>
          <w:szCs w:val="20"/>
          <w:rFonts w:ascii="Times New Roman" w:cs="Times New Roman" w:eastAsia="Times New Roman" w:hAnsi="Times New Roman"/>
        </w:rPr>
        <w:t xml:space="preserve"> = min{τ : </w:t>
      </w:r>
      <w:r>
        <w:rPr>
          <w:i/>
          <w:iCs/>
          <w:sz w:val="20"/>
          <w:szCs w:val="20"/>
          <w:rFonts w:ascii="Times New Roman" w:cs="Times New Roman" w:eastAsia="Times New Roman" w:hAnsi="Times New Roman"/>
        </w:rPr>
        <w:t xml:space="preserve">U</w:t>
      </w:r>
      <w:r>
        <w:rPr>
          <w:sz w:val="20"/>
          <w:szCs w:val="20"/>
          <w:vertAlign w:val="subscript"/>
          <w:rFonts w:ascii="Times New Roman" w:cs="Times New Roman" w:eastAsia="Times New Roman" w:hAnsi="Times New Roman"/>
        </w:rPr>
        <w:t xml:space="preserve">CP</w:t>
      </w:r>
      <w:r>
        <w:rPr>
          <w:sz w:val="20"/>
          <w:szCs w:val="20"/>
          <w:rFonts w:ascii="Times New Roman" w:cs="Times New Roman" w:eastAsia="Times New Roman" w:hAnsi="Times New Roman"/>
        </w:rPr>
        <w:t xml:space="preserve">(</w:t>
      </w:r>
      <w:r>
        <w:rPr>
          <w:i/>
          <w:iCs/>
          <w:sz w:val="20"/>
          <w:szCs w:val="20"/>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(τ), </w:t>
      </w:r>
      <w:r>
        <w:rPr>
          <w:i/>
          <w:iCs/>
          <w:sz w:val="20"/>
          <w:szCs w:val="20"/>
          <w:rFonts w:ascii="Times New Roman" w:cs="Times New Roman" w:eastAsia="Times New Roman" w:hAnsi="Times New Roman"/>
        </w:rPr>
        <w:t xml:space="preserve">N</w:t>
      </w:r>
      <w:r>
        <w:rPr>
          <w:sz w:val="20"/>
          <w:szCs w:val="20"/>
          <w:vertAlign w:val="subscript"/>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α) ≤ ε},</w:t>
      </w:r>
      <w:r>
        <w:rPr>
          <w:sz w:val="20"/>
          <w:szCs w:val="20"/>
          <w:rFonts w:ascii="Times New Roman" w:cs="Times New Roman" w:eastAsia="Times New Roman" w:hAnsi="Times New Roman"/>
        </w:rPr>
        <w:t xml:space="preserve">	(4)</w:t>
      </w:r>
    </w:p>
    <w:p>
      <w:pPr>
        <w:spacing w:after="0" w:before="0" w:line="228" w:lineRule="auto"/>
        <w:ind w:firstLine="202"/>
        <w:jc w:val="both"/>
      </w:pPr>
      <w:r>
        <w:rPr>
          <w:sz w:val="20"/>
          <w:szCs w:val="20"/>
          <w:rFonts w:ascii="Times New Roman" w:cs="Times New Roman" w:eastAsia="Times New Roman" w:hAnsi="Times New Roman"/>
        </w:rPr>
        <w:t xml:space="preserve">where U</w:t>
      </w:r>
      <w:r>
        <w:rPr>
          <w:sz w:val="20"/>
          <w:szCs w:val="20"/>
          <w:vertAlign w:val="subscript"/>
          <w:rFonts w:ascii="Times New Roman" w:cs="Times New Roman" w:eastAsia="Times New Roman" w:hAnsi="Times New Roman"/>
        </w:rPr>
        <w:t xml:space="preserve">CP</w:t>
      </w:r>
      <w:r>
        <w:rPr>
          <w:sz w:val="20"/>
          <w:szCs w:val="20"/>
          <w:rFonts w:ascii="Times New Roman" w:cs="Times New Roman" w:eastAsia="Times New Roman" w:hAnsi="Times New Roman"/>
        </w:rPr>
        <w:t xml:space="preserve"> is the one-sided (1−α) Clopper–Pearson upper bound [18]. Because m(τ) is non-increasing in τ, the admissible thresholds form an interval and this choice equals fixed-sequence testing from τ = ∞ downwards, which controls the family-wise error at α without multiplicity correction [17]. Under exchangeability of calibration and test windows, the exit-induced miss rate is therefore at most ε with probability at least 1−α. Thresholds are placed at the next representable float32 value above a calibration score, so ties cannot add exits. If even m = 0 violates the bound (N</w:t>
      </w:r>
      <w:r>
        <w:rPr>
          <w:sz w:val="20"/>
          <w:szCs w:val="20"/>
          <w:vertAlign w:val="subscript"/>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&lt; ln α / ln(1−ε), i.e. 598 windows for ε = 0.5% and α = 0.05), benign exits are disabled. The alert threshold τ</w:t>
      </w:r>
      <w:r>
        <w:rPr>
          <w:sz w:val="20"/>
          <w:szCs w:val="20"/>
          <w:vertAlign w:val="subscript"/>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is set empirically for a 1% Sentinel false-alarm rate on benign calibration windows; it carries no guarantee and can be disabled so that every alert is verified by the Analyst.</w:t>
      </w:r>
    </w:p>
    <w:p>
      <w:pPr>
        <w:keepNext/>
        <w:spacing w:before="120" w:after="60"/>
      </w:pPr>
      <w:r>
        <w:rPr>
          <w:i/>
          <w:iCs/>
          <w:sz w:val="20"/>
          <w:szCs w:val="20"/>
          <w:rFonts w:ascii="Times New Roman" w:cs="Times New Roman" w:eastAsia="Times New Roman" w:hAnsi="Times New Roman"/>
        </w:rPr>
        <w:t xml:space="preserve">E. Training objective</w:t>
      </w:r>
    </w:p>
    <w:p>
      <w:pPr>
        <w:spacing w:after="0" w:before="0" w:line="228" w:lineRule="auto"/>
        <w:ind w:firstLine="202"/>
        <w:jc w:val="both"/>
      </w:pPr>
      <w:r>
        <w:rPr>
          <w:sz w:val="20"/>
          <w:szCs w:val="20"/>
          <w:rFonts w:ascii="Times New Roman" w:cs="Times New Roman" w:eastAsia="Times New Roman" w:hAnsi="Times New Roman"/>
        </w:rPr>
        <w:t xml:space="preserve">Both exits are trained jointly with deep supervision, distilling the teacher t into the Analyst and the Analyst into the Sentinel [13]:</w:t>
      </w:r>
    </w:p>
    <w:p>
      <w:pPr>
        <w:keepNext/>
        <w:tabs>
          <w:tab w:val="center" w:pos="2520"/>
        </w:tabs>
        <w:spacing w:before="60"/>
      </w:pPr>
      <w:r>
        <w:rPr>
          <w:rFonts w:ascii="Times New Roman" w:cs="Times New Roman" w:eastAsia="Times New Roman" w:hAnsi="Times New Roman"/>
        </w:rPr>
        <w:t xml:space="preserve">	</w:t>
      </w:r>
      <w:r>
        <w:rPr>
          <w:sz w:val="20"/>
          <w:szCs w:val="20"/>
          <w:rFonts w:ascii="Times New Roman" w:cs="Times New Roman" w:eastAsia="Times New Roman" w:hAnsi="Times New Roman"/>
        </w:rPr>
        <w:t xml:space="preserve">ℒ = CE(</w:t>
      </w:r>
      <w:r>
        <w:rPr>
          <w:i/>
          <w:iCs/>
          <w:sz w:val="20"/>
          <w:szCs w:val="20"/>
          <w:rFonts w:ascii="Times New Roman" w:cs="Times New Roman" w:eastAsia="Times New Roman" w:hAnsi="Times New Roman"/>
        </w:rPr>
        <w:t xml:space="preserve">p</w:t>
      </w:r>
      <w:r>
        <w:rPr>
          <w:sz w:val="20"/>
          <w:szCs w:val="20"/>
          <w:vertAlign w:val="subscript"/>
          <w:rFonts w:ascii="Times New Roman" w:cs="Times New Roman" w:eastAsia="Times New Roman" w:hAnsi="Times New Roman"/>
        </w:rPr>
        <w:t xml:space="preserve">1</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y</w:t>
      </w:r>
      <w:r>
        <w:rPr>
          <w:sz w:val="20"/>
          <w:szCs w:val="20"/>
          <w:rFonts w:ascii="Times New Roman" w:cs="Times New Roman" w:eastAsia="Times New Roman" w:hAnsi="Times New Roman"/>
        </w:rPr>
        <w:t xml:space="preserve">) + CE(</w:t>
      </w:r>
      <w:r>
        <w:rPr>
          <w:i/>
          <w:iCs/>
          <w:sz w:val="20"/>
          <w:szCs w:val="20"/>
          <w:rFonts w:ascii="Times New Roman" w:cs="Times New Roman" w:eastAsia="Times New Roman" w:hAnsi="Times New Roman"/>
        </w:rPr>
        <w:t xml:space="preserve">p</w:t>
      </w:r>
      <w:r>
        <w:rPr>
          <w:sz w:val="20"/>
          <w:szCs w:val="20"/>
          <w:vertAlign w:val="subscript"/>
          <w:rFonts w:ascii="Times New Roman" w:cs="Times New Roman" w:eastAsia="Times New Roman" w:hAnsi="Times New Roman"/>
        </w:rPr>
        <w:t xml:space="preserve">2</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y</w:t>
      </w:r>
      <w:r>
        <w:rPr>
          <w:sz w:val="20"/>
          <w:szCs w:val="20"/>
          <w:rFonts w:ascii="Times New Roman" w:cs="Times New Roman" w:eastAsia="Times New Roman" w:hAnsi="Times New Roman"/>
        </w:rPr>
        <w:t xml:space="preserve">)</w:t>
      </w:r>
    </w:p>
    <w:p>
      <w:pPr>
        <w:tabs>
          <w:tab w:val="center" w:pos="2520"/>
          <w:tab w:val="right" w:pos="5040"/>
        </w:tabs>
        <w:spacing w:before="60" w:after="60"/>
      </w:pPr>
      <w:r>
        <w:rPr>
          <w:rFonts w:ascii="Times New Roman" w:cs="Times New Roman" w:eastAsia="Times New Roman" w:hAnsi="Times New Roman"/>
        </w:rPr>
        <w:t xml:space="preserve">	</w:t>
      </w:r>
      <w:r>
        <w:rPr>
          <w:sz w:val="20"/>
          <w:szCs w:val="20"/>
          <w:rFonts w:ascii="Times New Roman" w:cs="Times New Roman" w:eastAsia="Times New Roman" w:hAnsi="Times New Roman"/>
        </w:rPr>
        <w:t xml:space="preserve">+ γτ</w:t>
      </w:r>
      <w:r>
        <w:rPr>
          <w:sz w:val="20"/>
          <w:szCs w:val="20"/>
          <w:vertAlign w:val="superscript"/>
          <w:rFonts w:ascii="Times New Roman" w:cs="Times New Roman" w:eastAsia="Times New Roman" w:hAnsi="Times New Roman"/>
        </w:rPr>
        <w:t xml:space="preserve">2</w:t>
      </w:r>
      <w:r>
        <w:rPr>
          <w:sz w:val="20"/>
          <w:szCs w:val="20"/>
          <w:rFonts w:ascii="Times New Roman" w:cs="Times New Roman" w:eastAsia="Times New Roman" w:hAnsi="Times New Roman"/>
        </w:rPr>
        <w:t xml:space="preserve"> KL(σ(</w:t>
      </w:r>
      <w:r>
        <w:rPr>
          <w:i/>
          <w:iCs/>
          <w:sz w:val="20"/>
          <w:szCs w:val="20"/>
          <w:rFonts w:ascii="Times New Roman" w:cs="Times New Roman" w:eastAsia="Times New Roman" w:hAnsi="Times New Roman"/>
        </w:rPr>
        <w:t xml:space="preserve">t</w:t>
      </w:r>
      <w:r>
        <w:rPr>
          <w:sz w:val="20"/>
          <w:szCs w:val="20"/>
          <w:rFonts w:ascii="Times New Roman" w:cs="Times New Roman" w:eastAsia="Times New Roman" w:hAnsi="Times New Roman"/>
        </w:rPr>
        <w:t xml:space="preserve">/τ) ‖ σ(</w:t>
      </w:r>
      <w:r>
        <w:rPr>
          <w:i/>
          <w:iCs/>
          <w:sz w:val="20"/>
          <w:szCs w:val="20"/>
          <w:rFonts w:ascii="Times New Roman" w:cs="Times New Roman" w:eastAsia="Times New Roman" w:hAnsi="Times New Roman"/>
        </w:rPr>
        <w:t xml:space="preserve">s</w:t>
      </w:r>
      <w:r>
        <w:rPr>
          <w:sz w:val="20"/>
          <w:szCs w:val="20"/>
          <w:vertAlign w:val="subscript"/>
          <w:rFonts w:ascii="Times New Roman" w:cs="Times New Roman" w:eastAsia="Times New Roman" w:hAnsi="Times New Roman"/>
        </w:rPr>
        <w:t xml:space="preserve">2</w:t>
      </w:r>
      <w:r>
        <w:rPr>
          <w:sz w:val="20"/>
          <w:szCs w:val="20"/>
          <w:rFonts w:ascii="Times New Roman" w:cs="Times New Roman" w:eastAsia="Times New Roman" w:hAnsi="Times New Roman"/>
        </w:rPr>
        <w:t xml:space="preserve">/τ)) + δ KL(</w:t>
      </w:r>
      <w:r>
        <w:rPr>
          <w:i/>
          <w:iCs/>
          <w:sz w:val="20"/>
          <w:szCs w:val="20"/>
          <w:rFonts w:ascii="Times New Roman" w:cs="Times New Roman" w:eastAsia="Times New Roman" w:hAnsi="Times New Roman"/>
        </w:rPr>
        <w:t xml:space="preserve">p</w:t>
      </w:r>
      <w:r>
        <w:rPr>
          <w:sz w:val="20"/>
          <w:szCs w:val="20"/>
          <w:vertAlign w:val="subscript"/>
          <w:rFonts w:ascii="Times New Roman" w:cs="Times New Roman" w:eastAsia="Times New Roman" w:hAnsi="Times New Roman"/>
        </w:rPr>
        <w:t xml:space="preserve">2</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p</w:t>
      </w:r>
      <w:r>
        <w:rPr>
          <w:sz w:val="20"/>
          <w:szCs w:val="20"/>
          <w:vertAlign w:val="subscript"/>
          <w:rFonts w:ascii="Times New Roman" w:cs="Times New Roman" w:eastAsia="Times New Roman" w:hAnsi="Times New Roman"/>
        </w:rPr>
        <w:t xml:space="preserve">1</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 xml:space="preserve">	(5)</w:t>
      </w:r>
    </w:p>
    <w:p>
      <w:pPr>
        <w:spacing w:after="0" w:before="0" w:line="228" w:lineRule="auto"/>
        <w:ind w:firstLine="202"/>
        <w:jc w:val="both"/>
      </w:pPr>
      <w:r>
        <w:rPr>
          <w:sz w:val="20"/>
          <w:szCs w:val="20"/>
          <w:rFonts w:ascii="Times New Roman" w:cs="Times New Roman" w:eastAsia="Times New Roman" w:hAnsi="Times New Roman"/>
        </w:rPr>
        <w:t xml:space="preserve">We use γ = 0.5, δ = 0.3, τ = 3 and class-balanced cross-entropy. Teacher logits are computed once for exactly the training windows and travel with them through the shuffled loader. The self-distillation target p</w:t>
      </w:r>
      <w:r>
        <w:rPr>
          <w:sz w:val="20"/>
          <w:szCs w:val="20"/>
          <w:vertAlign w:val="subscript"/>
          <w:rFonts w:ascii="Times New Roman" w:cs="Times New Roman" w:eastAsia="Times New Roman" w:hAnsi="Times New Roman"/>
        </w:rPr>
        <w:t xml:space="preserve">2</w:t>
      </w:r>
      <w:r>
        <w:rPr>
          <w:sz w:val="20"/>
          <w:szCs w:val="20"/>
          <w:rFonts w:ascii="Times New Roman" w:cs="Times New Roman" w:eastAsia="Times New Roman" w:hAnsi="Times New Roman"/>
        </w:rPr>
        <w:t xml:space="preserve"> is detached, so its gradient trains only the Sentinel and cannot pull the Analyst towards the weaker exit.</w:t>
      </w:r>
    </w:p>
    <w:p>
      <w:pPr>
        <w:keepNext/>
        <w:spacing w:before="120" w:after="60"/>
      </w:pPr>
      <w:r>
        <w:rPr>
          <w:i/>
          <w:iCs/>
          <w:sz w:val="20"/>
          <w:szCs w:val="20"/>
          <w:rFonts w:ascii="Times New Roman" w:cs="Times New Roman" w:eastAsia="Times New Roman" w:hAnsi="Times New Roman"/>
        </w:rPr>
        <w:t xml:space="preserve">F. Compression chain and expected cost</w:t>
      </w:r>
    </w:p>
    <w:p>
      <w:pPr>
        <w:spacing w:after="0" w:before="0" w:line="228" w:lineRule="auto"/>
        <w:ind w:firstLine="202"/>
        <w:jc w:val="both"/>
      </w:pPr>
      <w:r>
        <w:rPr>
          <w:sz w:val="20"/>
          <w:szCs w:val="20"/>
          <w:rFonts w:ascii="Times New Roman" w:cs="Times New Roman" w:eastAsia="Times New Roman" w:hAnsi="Times New Roman"/>
        </w:rPr>
        <w:t xml:space="preserve">After joint training we (i) remove 30% of the Analyst expansion channels and of the Sentinel channels by L1-norm ranking, physically rebuilding the layers, and fine-tune for five epochs; (ii) run three epochs of INT8 quantization-aware training [15] on the PIP layer, stem and all convolution blocks (Conv+BN folded), with dynamic INT8 for the remaining linear and GRU layers; and (iii) re-fit T</w:t>
      </w:r>
      <w:r>
        <w:rPr>
          <w:sz w:val="20"/>
          <w:szCs w:val="20"/>
          <w:vertAlign w:val="subscript"/>
          <w:rFonts w:ascii="Times New Roman" w:cs="Times New Roman" w:eastAsia="Times New Roman" w:hAnsi="Times New Roman"/>
        </w:rPr>
        <w:t xml:space="preserve">1</w:t>
      </w:r>
      <w:r>
        <w:rPr>
          <w:sz w:val="20"/>
          <w:szCs w:val="20"/>
          <w:rFonts w:ascii="Times New Roman" w:cs="Times New Roman" w:eastAsia="Times New Roman" w:hAnsi="Times New Roman"/>
        </w:rPr>
        <w:t xml:space="preserve">, T</w:t>
      </w:r>
      <w:r>
        <w:rPr>
          <w:sz w:val="20"/>
          <w:szCs w:val="20"/>
          <w:vertAlign w:val="subscript"/>
          <w:rFonts w:ascii="Times New Roman" w:cs="Times New Roman" w:eastAsia="Times New Roman" w:hAnsi="Times New Roman"/>
        </w:rPr>
        <w:t xml:space="preserve">2</w:t>
      </w:r>
      <w:r>
        <w:rPr>
          <w:sz w:val="20"/>
          <w:szCs w:val="20"/>
          <w:rFonts w:ascii="Times New Roman" w:cs="Times New Roman" w:eastAsia="Times New Roman" w:hAnsi="Times New Roman"/>
        </w:rPr>
        <w:t xml:space="preserve">, τ</w:t>
      </w:r>
      <w:r>
        <w:rPr>
          <w:sz w:val="20"/>
          <w:szCs w:val="20"/>
          <w:vertAlign w:val="subscript"/>
          <w:rFonts w:ascii="Times New Roman" w:cs="Times New Roman" w:eastAsia="Times New Roman" w:hAnsi="Times New Roman"/>
        </w:rPr>
        <w:t xml:space="preserve">b</w:t>
      </w:r>
      <w:r>
        <w:rPr>
          <w:sz w:val="20"/>
          <w:szCs w:val="20"/>
          <w:rFonts w:ascii="Times New Roman" w:cs="Times New Roman" w:eastAsia="Times New Roman" w:hAnsi="Times New Roman"/>
        </w:rPr>
        <w:t xml:space="preserve"> and τ</w:t>
      </w:r>
      <w:r>
        <w:rPr>
          <w:sz w:val="20"/>
          <w:szCs w:val="20"/>
          <w:vertAlign w:val="subscript"/>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on the INT8 model, because quantization changes confidences. With Sentinel-path cost C</w:t>
      </w:r>
      <w:r>
        <w:rPr>
          <w:sz w:val="20"/>
          <w:szCs w:val="20"/>
          <w:vertAlign w:val="subscript"/>
          <w:rFonts w:ascii="Times New Roman" w:cs="Times New Roman" w:eastAsia="Times New Roman" w:hAnsi="Times New Roman"/>
        </w:rPr>
        <w:t xml:space="preserve">1</w:t>
      </w:r>
      <w:r>
        <w:rPr>
          <w:sz w:val="20"/>
          <w:szCs w:val="20"/>
          <w:rFonts w:ascii="Times New Roman" w:cs="Times New Roman" w:eastAsia="Times New Roman" w:hAnsi="Times New Roman"/>
        </w:rPr>
        <w:t xml:space="preserve">, Analyst cost C</w:t>
      </w:r>
      <w:r>
        <w:rPr>
          <w:sz w:val="20"/>
          <w:szCs w:val="20"/>
          <w:vertAlign w:val="subscript"/>
          <w:rFonts w:ascii="Times New Roman" w:cs="Times New Roman" w:eastAsia="Times New Roman" w:hAnsi="Times New Roman"/>
        </w:rPr>
        <w:t xml:space="preserve">2</w:t>
      </w:r>
      <w:r>
        <w:rPr>
          <w:sz w:val="20"/>
          <w:szCs w:val="20"/>
          <w:rFonts w:ascii="Times New Roman" w:cs="Times New Roman" w:eastAsia="Times New Roman" w:hAnsi="Times New Roman"/>
        </w:rPr>
        <w:t xml:space="preserve"> and exit rate ρ,</w:t>
      </w:r>
    </w:p>
    <w:p>
      <w:pPr>
        <w:tabs>
          <w:tab w:val="center" w:pos="2520"/>
          <w:tab w:val="right" w:pos="5040"/>
        </w:tabs>
        <w:spacing w:before="60" w:after="60"/>
      </w:pPr>
      <w:r>
        <w:rPr>
          <w:rFonts w:ascii="Times New Roman" w:cs="Times New Roman" w:eastAsia="Times New Roman" w:hAnsi="Times New Roman"/>
        </w:rPr>
        <w:t xml:space="preserve">	</w:t>
      </w:r>
      <w:r>
        <w:rPr>
          <w:sz w:val="20"/>
          <w:szCs w:val="20"/>
          <w:rFonts w:ascii="Times New Roman" w:cs="Times New Roman" w:eastAsia="Times New Roman" w:hAnsi="Times New Roman"/>
        </w:rPr>
        <w:t xml:space="preserve">E[</w:t>
      </w:r>
      <w:r>
        <w:rPr>
          <w:i/>
          <w:iCs/>
          <w:sz w:val="20"/>
          <w:szCs w:val="20"/>
          <w:rFonts w:ascii="Times New Roman" w:cs="Times New Roman" w:eastAsia="Times New Roman" w:hAnsi="Times New Roman"/>
        </w:rPr>
        <w:t xml:space="preserve">C</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C</w:t>
      </w:r>
      <w:r>
        <w:rPr>
          <w:sz w:val="20"/>
          <w:szCs w:val="20"/>
          <w:vertAlign w:val="subscript"/>
          <w:rFonts w:ascii="Times New Roman" w:cs="Times New Roman" w:eastAsia="Times New Roman" w:hAnsi="Times New Roman"/>
        </w:rPr>
        <w:t xml:space="preserve">1</w:t>
      </w:r>
      <w:r>
        <w:rPr>
          <w:sz w:val="20"/>
          <w:szCs w:val="20"/>
          <w:rFonts w:ascii="Times New Roman" w:cs="Times New Roman" w:eastAsia="Times New Roman" w:hAnsi="Times New Roman"/>
        </w:rPr>
        <w:t xml:space="preserve"> + (1 − ρ) </w:t>
      </w:r>
      <w:r>
        <w:rPr>
          <w:i/>
          <w:iCs/>
          <w:sz w:val="20"/>
          <w:szCs w:val="20"/>
          <w:rFonts w:ascii="Times New Roman" w:cs="Times New Roman" w:eastAsia="Times New Roman" w:hAnsi="Times New Roman"/>
        </w:rPr>
        <w:t xml:space="preserve">C</w:t>
      </w:r>
      <w:r>
        <w:rPr>
          <w:sz w:val="20"/>
          <w:szCs w:val="20"/>
          <w:vertAlign w:val="subscript"/>
          <w:rFonts w:ascii="Times New Roman" w:cs="Times New Roman" w:eastAsia="Times New Roman" w:hAnsi="Times New Roman"/>
        </w:rPr>
        <w:t xml:space="preserve">2</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S</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C</w:t>
      </w:r>
      <w:r>
        <w:rPr>
          <w:sz w:val="20"/>
          <w:szCs w:val="20"/>
          <w:vertAlign w:val="subscript"/>
          <w:rFonts w:ascii="Times New Roman" w:cs="Times New Roman" w:eastAsia="Times New Roman" w:hAnsi="Times New Roman"/>
        </w:rPr>
        <w:t xml:space="preserve">1</w:t>
      </w:r>
      <w:r>
        <w:rPr>
          <w:sz w:val="20"/>
          <w:szCs w:val="20"/>
          <w:rFonts w:ascii="Times New Roman" w:cs="Times New Roman" w:eastAsia="Times New Roman" w:hAnsi="Times New Roman"/>
        </w:rPr>
        <w:t xml:space="preserve"> + </w:t>
      </w:r>
      <w:r>
        <w:rPr>
          <w:i/>
          <w:iCs/>
          <w:sz w:val="20"/>
          <w:szCs w:val="20"/>
          <w:rFonts w:ascii="Times New Roman" w:cs="Times New Roman" w:eastAsia="Times New Roman" w:hAnsi="Times New Roman"/>
        </w:rPr>
        <w:t xml:space="preserve">C</w:t>
      </w:r>
      <w:r>
        <w:rPr>
          <w:sz w:val="20"/>
          <w:szCs w:val="20"/>
          <w:vertAlign w:val="subscript"/>
          <w:rFonts w:ascii="Times New Roman" w:cs="Times New Roman" w:eastAsia="Times New Roman" w:hAnsi="Times New Roman"/>
        </w:rPr>
        <w:t xml:space="preserve">2</w:t>
      </w:r>
      <w:r>
        <w:rPr>
          <w:sz w:val="20"/>
          <w:szCs w:val="20"/>
          <w:rFonts w:ascii="Times New Roman" w:cs="Times New Roman" w:eastAsia="Times New Roman" w:hAnsi="Times New Roman"/>
        </w:rPr>
        <w:t xml:space="preserve">) / E[</w:t>
      </w:r>
      <w:r>
        <w:rPr>
          <w:i/>
          <w:iCs/>
          <w:sz w:val="20"/>
          <w:szCs w:val="20"/>
          <w:rFonts w:ascii="Times New Roman" w:cs="Times New Roman" w:eastAsia="Times New Roman" w:hAnsi="Times New Roman"/>
        </w:rPr>
        <w:t xml:space="preserve">C</w:t>
      </w:r>
      <w:r>
        <w:rPr>
          <w:sz w:val="20"/>
          <w:szCs w:val="20"/>
          <w:rFonts w:ascii="Times New Roman" w:cs="Times New Roman" w:eastAsia="Times New Roman" w:hAnsi="Times New Roman"/>
        </w:rPr>
        <w:t xml:space="preserve">].</w:t>
      </w:r>
      <w:r>
        <w:rPr>
          <w:sz w:val="20"/>
          <w:szCs w:val="20"/>
          <w:rFonts w:ascii="Times New Roman" w:cs="Times New Roman" w:eastAsia="Times New Roman" w:hAnsi="Times New Roman"/>
        </w:rPr>
        <w:t xml:space="preserve">	(6)</w:t>
      </w:r>
    </w:p>
    <w:p>
      <w:pPr>
        <w:keepNext/>
        <w:spacing w:before="200" w:after="100"/>
        <w:jc w:val="center"/>
      </w:pPr>
      <w:r>
        <w:rPr>
          <w:sz w:val="20"/>
          <w:szCs w:val="20"/>
          <w:smallCaps/>
          <w:rFonts w:ascii="Times New Roman" w:cs="Times New Roman" w:eastAsia="Times New Roman" w:hAnsi="Times New Roman"/>
        </w:rPr>
        <w:t xml:space="preserve">V. Experimental Setup</w:t>
      </w:r>
    </w:p>
    <w:p>
      <w:pPr>
        <w:keepNext/>
        <w:spacing w:before="120" w:after="60"/>
      </w:pPr>
      <w:r>
        <w:rPr>
          <w:i/>
          <w:iCs/>
          <w:sz w:val="20"/>
          <w:szCs w:val="20"/>
          <w:rFonts w:ascii="Times New Roman" w:cs="Times New Roman" w:eastAsia="Times New Roman" w:hAnsi="Times New Roman"/>
        </w:rPr>
        <w:t xml:space="preserve">A. Data and leakage-safe protocol</w:t>
      </w:r>
    </w:p>
    <w:p>
      <w:pPr>
        <w:spacing w:after="0" w:before="0" w:line="228" w:lineRule="auto"/>
        <w:ind w:firstLine="202"/>
        <w:jc w:val="both"/>
      </w:pPr>
      <w:r>
        <w:rPr>
          <w:sz w:val="20"/>
          <w:szCs w:val="20"/>
          <w:rFonts w:ascii="Times New Roman" w:cs="Times New Roman" w:eastAsia="Times New Roman" w:hAnsi="Times New Roman"/>
        </w:rPr>
        <w:t xml:space="preserve">The real N-BaIoT [20], CICIoT2023 [21] and IoT-23 [22] corpora were not available in our environment, so all experiments use a deterministic synthetic benchmark written in the native N-BaIoT file layout and read by the same loader as the real data: ten synthetic devices, 115 features with the original N-BaIoT names, one benign file and four attack files per device (16,000 records). Records are generated from a six-dimensional latent AR(1) process mixed into the features with noise. "Flood" attacks shift the latent mean strongly, "combo" attacks moderately, and "scan" attacks add an alternating period-2 pattern that only a temporal model can see. Attack intensity drifts over time and benign traffic contains busy episodes, so part of each class is hard. </w:t>
      </w:r>
      <w:r>
        <w:rPr>
          <w:b/>
          <w:bCs/>
          <w:sz w:val="20"/>
          <w:szCs w:val="20"/>
          <w:rFonts w:ascii="Times New Roman" w:cs="Times New Roman" w:eastAsia="Times New Roman" w:hAnsi="Times New Roman"/>
        </w:rPr>
        <w:t xml:space="preserve">The benchmark exercises the full pipeline; it is not evidence of performance on real traffic.</w:t>
      </w:r>
    </w:p>
    <w:p>
      <w:pPr>
        <w:spacing w:after="0" w:before="0" w:line="228" w:lineRule="auto"/>
        <w:ind w:firstLine="202"/>
        <w:jc w:val="both"/>
      </w:pPr>
      <w:r>
        <w:rPr>
          <w:sz w:val="20"/>
          <w:szCs w:val="20"/>
          <w:rFonts w:ascii="Times New Roman" w:cs="Times New Roman" w:eastAsia="Times New Roman" w:hAnsi="Times New Roman"/>
        </w:rPr>
        <w:t xml:space="preserve">Whole devices are assigned to splits: five for training (7,775 windows), one for validation (1,555), two for calibration (3,110, of which 1,528 malicious) and two for testing (3,110). The RobustScaler and PCA are fitted on training records only, and windows never cross a device file. The calibration split is disjoint from the validation split used for model selection.</w:t>
      </w:r>
    </w:p>
    <w:p>
      <w:pPr>
        <w:keepNext/>
        <w:spacing w:before="120" w:after="60"/>
      </w:pPr>
      <w:r>
        <w:rPr>
          <w:i/>
          <w:iCs/>
          <w:sz w:val="20"/>
          <w:szCs w:val="20"/>
          <w:rFonts w:ascii="Times New Roman" w:cs="Times New Roman" w:eastAsia="Times New Roman" w:hAnsi="Times New Roman"/>
        </w:rPr>
        <w:t xml:space="preserve">B. Deep-learning comparison models</w:t>
      </w:r>
    </w:p>
    <w:p>
      <w:pPr>
        <w:spacing w:after="0" w:before="0" w:line="228" w:lineRule="auto"/>
        <w:ind w:firstLine="202"/>
        <w:jc w:val="both"/>
      </w:pPr>
      <w:r>
        <w:rPr>
          <w:sz w:val="20"/>
          <w:szCs w:val="20"/>
          <w:rFonts w:ascii="Times New Roman" w:cs="Times New Roman" w:eastAsia="Times New Roman" w:hAnsi="Times New Roman"/>
        </w:rPr>
        <w:t xml:space="preserve">All models use the same windows, class-balanced cross-entropy, AdamW with a cosine schedule and validation-based model selection. Besides the CNN-BiLSTM teacher (2 convolutions, 2-layer BiLSTM with 128 units, attention), the baselines are: B1 an L1-regularised MLP on the flattened window (SNIPE-style [9]); B3 LSTM; B4 BiLSTM; B5 BiLSTM on 32 PCA components with dynamic INT8 (after [5]); B6 CNN-BiLSTM [3]; B7 depthwise-separable CNN; B8 a 2-layer, 2-head transformer encoder [23]; and three models added in this work: B9 a bidirectional GRU [12], B10 a TCN with three residual dilated causal blocks (dilations 1, 2, 4) [10] and B11 a two-stage residual 1-D CNN [11].</w:t>
      </w:r>
    </w:p>
    <w:p>
      <w:pPr>
        <w:keepNext/>
        <w:spacing w:before="120" w:after="60"/>
      </w:pPr>
      <w:r>
        <w:rPr>
          <w:i/>
          <w:iCs/>
          <w:sz w:val="20"/>
          <w:szCs w:val="20"/>
          <w:rFonts w:ascii="Times New Roman" w:cs="Times New Roman" w:eastAsia="Times New Roman" w:hAnsi="Times New Roman"/>
        </w:rPr>
        <w:t xml:space="preserve">C. Metrics and measurement</w:t>
      </w:r>
    </w:p>
    <w:p>
      <w:pPr>
        <w:spacing w:after="0" w:before="0" w:line="228" w:lineRule="auto"/>
        <w:ind w:firstLine="202"/>
        <w:jc w:val="both"/>
      </w:pPr>
      <w:r>
        <w:rPr>
          <w:sz w:val="20"/>
          <w:szCs w:val="20"/>
          <w:rFonts w:ascii="Times New Roman" w:cs="Times New Roman" w:eastAsia="Times New Roman" w:hAnsi="Times New Roman"/>
        </w:rPr>
        <w:t xml:space="preserve">We report macro-F1 with a 200-sample bootstrap 95% confidence interval, malicious recall, false-positive rate (FPR), parameters, multiply-accumulate operations (MACs), serialized model size, exit rate ρ (raw and re-weighted to 1–5% malicious prevalence) and the exit-induced miss rate. MACs are counted with fvcore plus our own handlers for LSTM, GRU and attention, because fvcore counts recurrent layers as zero. Latency is wall-clock time of PyTorch eager inference at batch size 1 on the development PC (x86 CPU) and is </w:t>
      </w:r>
      <w:r>
        <w:rPr>
          <w:b/>
          <w:bCs/>
          <w:sz w:val="20"/>
          <w:szCs w:val="20"/>
          <w:rFonts w:ascii="Times New Roman" w:cs="Times New Roman" w:eastAsia="Times New Roman" w:hAnsi="Times New Roman"/>
        </w:rPr>
        <w:t xml:space="preserve">not</w:t>
      </w:r>
      <w:r>
        <w:rPr>
          <w:sz w:val="20"/>
          <w:szCs w:val="20"/>
          <w:rFonts w:ascii="Times New Roman" w:cs="Times New Roman" w:eastAsia="Times New Roman" w:hAnsi="Times New Roman"/>
        </w:rPr>
        <w:t xml:space="preserve"> a measurement on IoT hardware. Experiments use seed 42.</w:t>
      </w:r>
    </w:p>
    <w:p>
      <w:pPr>
        <w:keepNext/>
        <w:spacing w:before="200" w:after="100"/>
        <w:jc w:val="center"/>
      </w:pPr>
      <w:r>
        <w:rPr>
          <w:sz w:val="20"/>
          <w:szCs w:val="20"/>
          <w:smallCaps/>
          <w:rFonts w:ascii="Times New Roman" w:cs="Times New Roman" w:eastAsia="Times New Roman" w:hAnsi="Times New Roman"/>
        </w:rPr>
        <w:t xml:space="preserve">VI. Results</w:t>
      </w:r>
    </w:p>
    <w:p>
      <w:pPr>
        <w:keepNext/>
        <w:spacing w:before="120" w:after="60"/>
      </w:pPr>
      <w:r>
        <w:rPr>
          <w:i/>
          <w:iCs/>
          <w:sz w:val="20"/>
          <w:szCs w:val="20"/>
          <w:rFonts w:ascii="Times New Roman" w:cs="Times New Roman" w:eastAsia="Times New Roman" w:hAnsi="Times New Roman"/>
        </w:rPr>
        <w:t xml:space="preserve">A. Accuracy versus cost</w:t>
      </w:r>
    </w:p>
    <w:p>
      <w:pPr>
        <w:keepNext/>
        <w:spacing w:before="120"/>
        <w:jc w:val="center"/>
      </w:pPr>
      <w:r>
        <w:rPr>
          <w:sz w:val="16"/>
          <w:szCs w:val="16"/>
          <w:rFonts w:ascii="Times New Roman" w:cs="Times New Roman" w:eastAsia="Times New Roman" w:hAnsi="Times New Roman"/>
        </w:rPr>
        <w:t xml:space="preserve">TABLE I</w:t>
      </w:r>
    </w:p>
    <w:p>
      <w:pPr>
        <w:keepNext/>
        <w:spacing w:after="60"/>
        <w:jc w:val="center"/>
      </w:pPr>
      <w:r>
        <w:rPr>
          <w:sz w:val="16"/>
          <w:szCs w:val="16"/>
          <w:smallCaps/>
          <w:rFonts w:ascii="Times New Roman" w:cs="Times New Roman" w:eastAsia="Times New Roman" w:hAnsi="Times New Roman"/>
        </w:rPr>
        <w:t xml:space="preserve">Test-split comparison (synthetic benchmark, 2 unseen devices)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460"/>
        <w:gridCol w:w="560"/>
        <w:gridCol w:w="600"/>
        <w:gridCol w:w="560"/>
        <w:gridCol w:w="620"/>
        <w:gridCol w:w="640"/>
        <w:gridCol w:w="600"/>
      </w:tblGrid>
      <w:tr>
        <w:trPr>
          <w:tblHeader/>
        </w:trPr>
        <w:tc>
          <w:tcPr>
            <w:tcW w:type="dxa" w:w="146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b/>
                <w:bCs/>
                <w:sz w:val="14"/>
                <w:szCs w:val="14"/>
                <w:rFonts w:ascii="Times New Roman" w:cs="Times New Roman" w:eastAsia="Times New Roman" w:hAnsi="Times New Roman"/>
              </w:rPr>
              <w:t xml:space="preserve">Model</w:t>
            </w:r>
          </w:p>
        </w:tc>
        <w:tc>
          <w:tcPr>
            <w:tcW w:type="dxa" w:w="56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bCs/>
                <w:sz w:val="14"/>
                <w:szCs w:val="14"/>
                <w:rFonts w:ascii="Times New Roman" w:cs="Times New Roman" w:eastAsia="Times New Roman" w:hAnsi="Times New Roman"/>
              </w:rPr>
              <w:t xml:space="preserve">F1</w:t>
            </w:r>
          </w:p>
        </w:tc>
        <w:tc>
          <w:tcPr>
            <w:tcW w:type="dxa" w:w="6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bCs/>
                <w:sz w:val="14"/>
                <w:szCs w:val="14"/>
                <w:rFonts w:ascii="Times New Roman" w:cs="Times New Roman" w:eastAsia="Times New Roman" w:hAnsi="Times New Roman"/>
              </w:rPr>
              <w:t xml:space="preserve">Recall</w:t>
            </w:r>
          </w:p>
        </w:tc>
        <w:tc>
          <w:tcPr>
            <w:tcW w:type="dxa" w:w="56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bCs/>
                <w:sz w:val="14"/>
                <w:szCs w:val="14"/>
                <w:rFonts w:ascii="Times New Roman" w:cs="Times New Roman" w:eastAsia="Times New Roman" w:hAnsi="Times New Roman"/>
              </w:rPr>
              <w:t xml:space="preserve">FPR</w:t>
            </w:r>
          </w:p>
        </w:tc>
        <w:tc>
          <w:tcPr>
            <w:tcW w:type="dxa" w:w="62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bCs/>
                <w:sz w:val="14"/>
                <w:szCs w:val="14"/>
                <w:rFonts w:ascii="Times New Roman" w:cs="Times New Roman" w:eastAsia="Times New Roman" w:hAnsi="Times New Roman"/>
              </w:rPr>
              <w:t xml:space="preserve">Params</w:t>
            </w:r>
          </w:p>
        </w:tc>
        <w:tc>
          <w:tcPr>
            <w:tcW w:type="dxa" w:w="6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bCs/>
                <w:sz w:val="14"/>
                <w:szCs w:val="14"/>
                <w:rFonts w:ascii="Times New Roman" w:cs="Times New Roman" w:eastAsia="Times New Roman" w:hAnsi="Times New Roman"/>
              </w:rPr>
              <w:t xml:space="preserve">MACs</w:t>
            </w:r>
          </w:p>
        </w:tc>
        <w:tc>
          <w:tcPr>
            <w:tcW w:type="dxa" w:w="6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bCs/>
                <w:sz w:val="14"/>
                <w:szCs w:val="14"/>
                <w:rFonts w:ascii="Times New Roman" w:cs="Times New Roman" w:eastAsia="Times New Roman" w:hAnsi="Times New Roman"/>
              </w:rPr>
              <w:t xml:space="preserve">KB</w:t>
            </w:r>
          </w:p>
        </w:tc>
      </w:tr>
      <w:tr>
        <w:tc>
          <w:tcPr>
            <w:tcW w:type="dxa" w:w="14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B1 L1-MLP</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0.948</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0.914</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0.018</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75.8K</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75.7K</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298.8</w:t>
            </w:r>
          </w:p>
        </w:tc>
      </w:tr>
      <w:tr>
        <w:tc>
          <w:tcPr>
            <w:tcW w:type="dxa" w:w="14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B10 TCN</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0.941</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0.899</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0.017</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22.4K</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221.2K</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92.9</w:t>
            </w:r>
          </w:p>
        </w:tc>
      </w:tr>
      <w:tr>
        <w:tc>
          <w:tcPr>
            <w:tcW w:type="dxa" w:w="14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B7 DS-CNN</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0.939</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0.897</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0.020</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8.0K</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77.2K</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34.1</w:t>
            </w:r>
          </w:p>
        </w:tc>
      </w:tr>
      <w:tr>
        <w:tc>
          <w:tcPr>
            <w:tcW w:type="dxa" w:w="14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Teacher CNN-BiLSTM</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0.936</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0.891</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0.020</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739.8K</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7.35M</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2898.0</w:t>
            </w:r>
          </w:p>
        </w:tc>
      </w:tr>
      <w:tr>
        <w:tc>
          <w:tcPr>
            <w:tcW w:type="dxa" w:w="14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B5 PCA-BiLSTM INT8</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0.935</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0.894</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0.025</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50.4K</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491.8K</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57.1</w:t>
            </w:r>
          </w:p>
        </w:tc>
      </w:tr>
      <w:tr>
        <w:tc>
          <w:tcPr>
            <w:tcW w:type="dxa" w:w="14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B6 CNN-BiLSTM</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0.935</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0.891</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0.023</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89.0K</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548.7K</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351.5</w:t>
            </w:r>
          </w:p>
        </w:tc>
      </w:tr>
      <w:tr>
        <w:tc>
          <w:tcPr>
            <w:tcW w:type="dxa" w:w="14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B9 BiGRU</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0.934</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0.891</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0.024</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47.7K</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469.6K</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189.8</w:t>
            </w:r>
          </w:p>
        </w:tc>
      </w:tr>
      <w:tr>
        <w:tc>
          <w:tcPr>
            <w:tcW w:type="dxa" w:w="14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B11 ResNet-1D</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0.933</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0.896</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0.032</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38.8K</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386.7K</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161.5</w:t>
            </w:r>
          </w:p>
        </w:tc>
      </w:tr>
      <w:tr>
        <w:tc>
          <w:tcPr>
            <w:tcW w:type="dxa" w:w="14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B4 BiLSTM</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0.930</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0.888</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0.030</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92.9K</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916.7K</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366.4</w:t>
            </w:r>
          </w:p>
        </w:tc>
      </w:tr>
      <w:tr>
        <w:tc>
          <w:tcPr>
            <w:tcW w:type="dxa" w:w="14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B3 LSTM</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0.925</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0.875</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0.025</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46.5K</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458.4K</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184.1</w:t>
            </w:r>
          </w:p>
        </w:tc>
      </w:tr>
      <w:tr>
        <w:tc>
          <w:tcPr>
            <w:tcW w:type="dxa" w:w="14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B8 Transformer</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0.907</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0.875</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0.063</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20.9K</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219.9K</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91.0</w:t>
            </w:r>
          </w:p>
        </w:tc>
      </w:tr>
      <w:tr>
        <w:tc>
          <w:tcPr>
            <w:tcW w:type="dxa" w:w="1460"/>
            <w:tcBorders>
              <w:top w:val="none" w:color="FFFFFF" w:sz="0"/>
              <w:left w:val="none" w:color="FFFFFF" w:sz="0"/>
              <w:bottom w:val="none" w:color="FFFFFF" w:sz="0"/>
              <w:right w:val="none" w:color="FFFFFF" w:sz="0"/>
            </w:tcBorders>
            <w:shd w:fill="E8EEF7" w:color="auto" w:val="clear"/>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LiteCascade-R INT8</w:t>
            </w:r>
          </w:p>
        </w:tc>
        <w:tc>
          <w:tcPr>
            <w:tcW w:type="dxa" w:w="560"/>
            <w:tcBorders>
              <w:top w:val="none" w:color="FFFFFF" w:sz="0"/>
              <w:left w:val="none" w:color="FFFFFF" w:sz="0"/>
              <w:bottom w:val="none" w:color="FFFFFF" w:sz="0"/>
              <w:right w:val="none" w:color="FFFFFF" w:sz="0"/>
            </w:tcBorders>
            <w:shd w:fill="E8EEF7" w:color="auto" w:val="clear"/>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0.936</w:t>
            </w:r>
          </w:p>
        </w:tc>
        <w:tc>
          <w:tcPr>
            <w:tcW w:type="dxa" w:w="600"/>
            <w:tcBorders>
              <w:top w:val="none" w:color="FFFFFF" w:sz="0"/>
              <w:left w:val="none" w:color="FFFFFF" w:sz="0"/>
              <w:bottom w:val="none" w:color="FFFFFF" w:sz="0"/>
              <w:right w:val="none" w:color="FFFFFF" w:sz="0"/>
            </w:tcBorders>
            <w:shd w:fill="E8EEF7" w:color="auto" w:val="clear"/>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0.897</w:t>
            </w:r>
          </w:p>
        </w:tc>
        <w:tc>
          <w:tcPr>
            <w:tcW w:type="dxa" w:w="560"/>
            <w:tcBorders>
              <w:top w:val="none" w:color="FFFFFF" w:sz="0"/>
              <w:left w:val="none" w:color="FFFFFF" w:sz="0"/>
              <w:bottom w:val="none" w:color="FFFFFF" w:sz="0"/>
              <w:right w:val="none" w:color="FFFFFF" w:sz="0"/>
            </w:tcBorders>
            <w:shd w:fill="E8EEF7" w:color="auto" w:val="clear"/>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0.025</w:t>
            </w:r>
          </w:p>
        </w:tc>
        <w:tc>
          <w:tcPr>
            <w:tcW w:type="dxa" w:w="620"/>
            <w:tcBorders>
              <w:top w:val="none" w:color="FFFFFF" w:sz="0"/>
              <w:left w:val="none" w:color="FFFFFF" w:sz="0"/>
              <w:bottom w:val="none" w:color="FFFFFF" w:sz="0"/>
              <w:right w:val="none" w:color="FFFFFF" w:sz="0"/>
            </w:tcBorders>
            <w:shd w:fill="E8EEF7" w:color="auto" w:val="clear"/>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16.4K</w:t>
            </w:r>
          </w:p>
        </w:tc>
        <w:tc>
          <w:tcPr>
            <w:tcW w:type="dxa" w:w="640"/>
            <w:tcBorders>
              <w:top w:val="none" w:color="FFFFFF" w:sz="0"/>
              <w:left w:val="none" w:color="FFFFFF" w:sz="0"/>
              <w:bottom w:val="none" w:color="FFFFFF" w:sz="0"/>
              <w:right w:val="none" w:color="FFFFFF" w:sz="0"/>
            </w:tcBorders>
            <w:shd w:fill="E8EEF7" w:color="auto" w:val="clear"/>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65.8K*</w:t>
            </w:r>
          </w:p>
        </w:tc>
        <w:tc>
          <w:tcPr>
            <w:tcW w:type="dxa" w:w="600"/>
            <w:tcBorders>
              <w:top w:val="none" w:color="FFFFFF" w:sz="0"/>
              <w:left w:val="none" w:color="FFFFFF" w:sz="0"/>
              <w:bottom w:val="none" w:color="FFFFFF" w:sz="0"/>
              <w:right w:val="none" w:color="FFFFFF" w:sz="0"/>
            </w:tcBorders>
            <w:shd w:fill="E8EEF7" w:color="auto" w:val="clear"/>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50.3</w:t>
            </w:r>
          </w:p>
        </w:tc>
      </w:tr>
      <w:tr>
        <w:tc>
          <w:tcPr>
            <w:tcW w:type="dxa" w:w="1460"/>
            <w:tcBorders>
              <w:top w:val="none" w:color="FFFFFF" w:sz="0"/>
              <w:left w:val="none" w:color="FFFFFF" w:sz="0"/>
              <w:bottom w:val="single" w:color="000000" w:sz="4"/>
              <w:right w:val="none" w:color="FFFFFF" w:sz="0"/>
            </w:tcBorders>
            <w:shd w:fill="E8EEF7" w:color="auto" w:val="clear"/>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LiteCascade-T INT8</w:t>
            </w:r>
          </w:p>
        </w:tc>
        <w:tc>
          <w:tcPr>
            <w:tcW w:type="dxa" w:w="560"/>
            <w:tcBorders>
              <w:top w:val="none" w:color="FFFFFF" w:sz="0"/>
              <w:left w:val="none" w:color="FFFFFF" w:sz="0"/>
              <w:bottom w:val="single" w:color="000000" w:sz="4"/>
              <w:right w:val="none" w:color="FFFFFF" w:sz="0"/>
            </w:tcBorders>
            <w:shd w:fill="E8EEF7" w:color="auto" w:val="clear"/>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0.923</w:t>
            </w:r>
          </w:p>
        </w:tc>
        <w:tc>
          <w:tcPr>
            <w:tcW w:type="dxa" w:w="600"/>
            <w:tcBorders>
              <w:top w:val="none" w:color="FFFFFF" w:sz="0"/>
              <w:left w:val="none" w:color="FFFFFF" w:sz="0"/>
              <w:bottom w:val="single" w:color="000000" w:sz="4"/>
              <w:right w:val="none" w:color="FFFFFF" w:sz="0"/>
            </w:tcBorders>
            <w:shd w:fill="E8EEF7" w:color="auto" w:val="clear"/>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0.872</w:t>
            </w:r>
          </w:p>
        </w:tc>
        <w:tc>
          <w:tcPr>
            <w:tcW w:type="dxa" w:w="560"/>
            <w:tcBorders>
              <w:top w:val="none" w:color="FFFFFF" w:sz="0"/>
              <w:left w:val="none" w:color="FFFFFF" w:sz="0"/>
              <w:bottom w:val="single" w:color="000000" w:sz="4"/>
              <w:right w:val="none" w:color="FFFFFF" w:sz="0"/>
            </w:tcBorders>
            <w:shd w:fill="E8EEF7" w:color="auto" w:val="clear"/>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0.027</w:t>
            </w:r>
          </w:p>
        </w:tc>
        <w:tc>
          <w:tcPr>
            <w:tcW w:type="dxa" w:w="620"/>
            <w:tcBorders>
              <w:top w:val="none" w:color="FFFFFF" w:sz="0"/>
              <w:left w:val="none" w:color="FFFFFF" w:sz="0"/>
              <w:bottom w:val="single" w:color="000000" w:sz="4"/>
              <w:right w:val="none" w:color="FFFFFF" w:sz="0"/>
            </w:tcBorders>
            <w:shd w:fill="E8EEF7" w:color="auto" w:val="clear"/>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9.1K</w:t>
            </w:r>
          </w:p>
        </w:tc>
        <w:tc>
          <w:tcPr>
            <w:tcW w:type="dxa" w:w="640"/>
            <w:tcBorders>
              <w:top w:val="none" w:color="FFFFFF" w:sz="0"/>
              <w:left w:val="none" w:color="FFFFFF" w:sz="0"/>
              <w:bottom w:val="single" w:color="000000" w:sz="4"/>
              <w:right w:val="none" w:color="FFFFFF" w:sz="0"/>
            </w:tcBorders>
            <w:shd w:fill="E8EEF7" w:color="auto" w:val="clear"/>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58.1K*</w:t>
            </w:r>
          </w:p>
        </w:tc>
        <w:tc>
          <w:tcPr>
            <w:tcW w:type="dxa" w:w="600"/>
            <w:tcBorders>
              <w:top w:val="none" w:color="FFFFFF" w:sz="0"/>
              <w:left w:val="none" w:color="FFFFFF" w:sz="0"/>
              <w:bottom w:val="single" w:color="000000" w:sz="4"/>
              <w:right w:val="none" w:color="FFFFFF" w:sz="0"/>
            </w:tcBorders>
            <w:shd w:fill="E8EEF7" w:color="auto" w:val="clear"/>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39.3</w:t>
            </w:r>
          </w:p>
        </w:tc>
      </w:tr>
    </w:tbl>
    <w:p>
      <w:pPr>
        <w:spacing w:before="40" w:after="120"/>
      </w:pPr>
      <w:r>
        <w:rPr>
          <w:sz w:val="14"/>
          <w:szCs w:val="14"/>
          <w:rFonts w:ascii="Times New Roman" w:cs="Times New Roman" w:eastAsia="Times New Roman" w:hAnsi="Times New Roman"/>
        </w:rPr>
        <w:t xml:space="preserve">* expected MACs E[C] at the measured exit rate. KB = serialized state dict (INT8 where the model is quantized: B5, LiteCascade).</w:t>
      </w:r>
    </w:p>
    <w:p>
      <w:pPr>
        <w:spacing w:after="0" w:before="0" w:line="228" w:lineRule="auto"/>
        <w:ind w:firstLine="202"/>
        <w:jc w:val="both"/>
      </w:pPr>
      <w:r>
        <w:rPr>
          <w:sz w:val="20"/>
          <w:szCs w:val="20"/>
          <w:rFonts w:ascii="Times New Roman" w:cs="Times New Roman" w:eastAsia="Times New Roman" w:hAnsi="Times New Roman"/>
        </w:rPr>
        <w:t xml:space="preserve">Table I and Fig. 2 compare all deep models. The INT8 LiteCascade-R reaches macro-F1 0.936 with 16,356 parameters and 65.8K expected MACs per window, matching the 739,843-parameter teacher (0.936) at 112× fewer MACs and a 58× smaller file. It is not the most accurate model on this benchmark: B1 L1-MLP (0.948), B10 TCN (0.941) and B7 DS-CNN (0.939) score higher, and the bootstrap intervals of most models overlap. The synthetic signal is separable enough that small models suffice, so this benchmark cannot show an accuracy advantage for the cascade; its value here is the controlled reduction of compute. LiteCascade-T, without the BiGRU, needs only 9,084 parameters and 39.3 KB at macro-F1 0.923.</w:t>
      </w:r>
    </w:p>
    <w:p>
      <w:pPr>
        <w:keepNext/>
        <w:spacing w:before="120"/>
        <w:jc w:val="center"/>
      </w:pPr>
      <w:r>
        <w:drawing>
          <wp:inline distT="0" distB="0" distL="0" distR="0">
            <wp:extent cx="3048000" cy="2209800"/>
            <wp:effectExtent t="0" r="0" b="0" l="0"/>
            <wp:docPr id="1" name="fig2_pareto.png" descr="Test macro-F1 versus MACs per window (log scale); bubble area grows with parameter count. LiteCascade (blue) is plotted at its expected cost E[C]. Synthetic benchmark."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2209800"/>
                    </a:xfrm>
                    <a:prstGeom prst="rect">
                      <a:avLst/>
                    </a:prstGeom>
                  </pic:spPr>
                </pic:pic>
              </a:graphicData>
            </a:graphic>
          </wp:inline>
        </w:drawing>
      </w:r>
    </w:p>
    <w:p>
      <w:pPr>
        <w:spacing w:before="40" w:after="140"/>
        <w:jc w:val="both"/>
      </w:pPr>
      <w:r>
        <w:rPr>
          <w:sz w:val="16"/>
          <w:szCs w:val="16"/>
          <w:rFonts w:ascii="Times New Roman" w:cs="Times New Roman" w:eastAsia="Times New Roman" w:hAnsi="Times New Roman"/>
        </w:rPr>
        <w:t xml:space="preserve">Fig. 2. </w:t>
      </w:r>
      <w:r>
        <w:rPr>
          <w:sz w:val="16"/>
          <w:szCs w:val="16"/>
          <w:rFonts w:ascii="Times New Roman" w:cs="Times New Roman" w:eastAsia="Times New Roman" w:hAnsi="Times New Roman"/>
        </w:rPr>
        <w:t xml:space="preserve">Test macro-F1 versus MACs per window (log scale); bubble area grows with parameter count. LiteCascade (blue) is plotted at its expected cost E[C]. Synthetic benchmark.</w:t>
      </w:r>
    </w:p>
    <w:p>
      <w:pPr>
        <w:keepNext/>
        <w:spacing w:before="120" w:after="60"/>
      </w:pPr>
      <w:r>
        <w:rPr>
          <w:i/>
          <w:iCs/>
          <w:sz w:val="20"/>
          <w:szCs w:val="20"/>
          <w:rFonts w:ascii="Times New Roman" w:cs="Times New Roman" w:eastAsia="Times New Roman" w:hAnsi="Times New Roman"/>
        </w:rPr>
        <w:t xml:space="preserve">B. Compression chain</w:t>
      </w:r>
    </w:p>
    <w:p>
      <w:pPr>
        <w:keepNext/>
        <w:spacing w:before="120"/>
        <w:jc w:val="center"/>
      </w:pPr>
      <w:r>
        <w:rPr>
          <w:sz w:val="16"/>
          <w:szCs w:val="16"/>
          <w:rFonts w:ascii="Times New Roman" w:cs="Times New Roman" w:eastAsia="Times New Roman" w:hAnsi="Times New Roman"/>
        </w:rPr>
        <w:t xml:space="preserve">TABLE II</w:t>
      </w:r>
    </w:p>
    <w:p>
      <w:pPr>
        <w:keepNext/>
        <w:spacing w:after="60"/>
        <w:jc w:val="center"/>
      </w:pPr>
      <w:r>
        <w:rPr>
          <w:sz w:val="16"/>
          <w:szCs w:val="16"/>
          <w:smallCaps/>
          <w:rFonts w:ascii="Times New Roman" w:cs="Times New Roman" w:eastAsia="Times New Roman" w:hAnsi="Times New Roman"/>
        </w:rPr>
        <w:t xml:space="preserve">LiteCascade-R through the compression chain (test split)</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620"/>
        <w:gridCol w:w="600"/>
        <w:gridCol w:w="580"/>
        <w:gridCol w:w="560"/>
        <w:gridCol w:w="560"/>
        <w:gridCol w:w="620"/>
      </w:tblGrid>
      <w:tr>
        <w:trPr>
          <w:tblHeader/>
        </w:trPr>
        <w:tc>
          <w:tcPr>
            <w:tcW w:type="dxa" w:w="15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b/>
                <w:bCs/>
                <w:sz w:val="14"/>
                <w:szCs w:val="14"/>
                <w:rFonts w:ascii="Times New Roman" w:cs="Times New Roman" w:eastAsia="Times New Roman" w:hAnsi="Times New Roman"/>
              </w:rPr>
              <w:t xml:space="preserve">Stage</w:t>
            </w:r>
          </w:p>
        </w:tc>
        <w:tc>
          <w:tcPr>
            <w:tcW w:type="dxa" w:w="62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bCs/>
                <w:sz w:val="14"/>
                <w:szCs w:val="14"/>
                <w:rFonts w:ascii="Times New Roman" w:cs="Times New Roman" w:eastAsia="Times New Roman" w:hAnsi="Times New Roman"/>
              </w:rPr>
              <w:t xml:space="preserve">F1</w:t>
            </w:r>
          </w:p>
        </w:tc>
        <w:tc>
          <w:tcPr>
            <w:tcW w:type="dxa" w:w="6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bCs/>
                <w:sz w:val="14"/>
                <w:szCs w:val="14"/>
                <w:rFonts w:ascii="Times New Roman" w:cs="Times New Roman" w:eastAsia="Times New Roman" w:hAnsi="Times New Roman"/>
              </w:rPr>
              <w:t xml:space="preserve">Recall</w:t>
            </w:r>
          </w:p>
        </w:tc>
        <w:tc>
          <w:tcPr>
            <w:tcW w:type="dxa" w:w="58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bCs/>
                <w:sz w:val="14"/>
                <w:szCs w:val="14"/>
                <w:rFonts w:ascii="Times New Roman" w:cs="Times New Roman" w:eastAsia="Times New Roman" w:hAnsi="Times New Roman"/>
              </w:rPr>
              <w:t xml:space="preserve">ρ</w:t>
            </w:r>
          </w:p>
        </w:tc>
        <w:tc>
          <w:tcPr>
            <w:tcW w:type="dxa" w:w="56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bCs/>
                <w:sz w:val="14"/>
                <w:szCs w:val="14"/>
                <w:rFonts w:ascii="Times New Roman" w:cs="Times New Roman" w:eastAsia="Times New Roman" w:hAnsi="Times New Roman"/>
              </w:rPr>
              <w:t xml:space="preserve">Miss</w:t>
            </w:r>
          </w:p>
        </w:tc>
        <w:tc>
          <w:tcPr>
            <w:tcW w:type="dxa" w:w="56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bCs/>
                <w:sz w:val="14"/>
                <w:szCs w:val="14"/>
                <w:rFonts w:ascii="Times New Roman" w:cs="Times New Roman" w:eastAsia="Times New Roman" w:hAnsi="Times New Roman"/>
              </w:rPr>
              <w:t xml:space="preserve">KB</w:t>
            </w:r>
          </w:p>
        </w:tc>
        <w:tc>
          <w:tcPr>
            <w:tcW w:type="dxa" w:w="62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bCs/>
                <w:sz w:val="14"/>
                <w:szCs w:val="14"/>
                <w:rFonts w:ascii="Times New Roman" w:cs="Times New Roman" w:eastAsia="Times New Roman" w:hAnsi="Times New Roman"/>
              </w:rPr>
              <w:t xml:space="preserve">S</w:t>
            </w:r>
          </w:p>
        </w:tc>
      </w:tr>
      <w:tr>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Joint + KD</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0.9384</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0.895</w:t>
            </w:r>
          </w:p>
        </w:tc>
        <w:tc>
          <w:tcPr>
            <w:tcW w:type="dxa" w:w="5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88.2%</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0.20%</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93.9</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2.36×</w:t>
            </w:r>
          </w:p>
        </w:tc>
      </w:tr>
      <w:tr>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Pruned 30%</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0.9390</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0.900</w:t>
            </w:r>
          </w:p>
        </w:tc>
        <w:tc>
          <w:tcPr>
            <w:tcW w:type="dxa" w:w="5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86.4%</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0.00%</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86.5</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2.25×</w:t>
            </w:r>
          </w:p>
        </w:tc>
      </w:tr>
      <w:tr>
        <w:tc>
          <w:tcPr>
            <w:tcW w:type="dxa" w:w="1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INT8, FP32 gate</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0.9365</w:t>
            </w:r>
          </w:p>
        </w:tc>
        <w:tc>
          <w:tcPr>
            <w:tcW w:type="dxa" w:w="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0.899</w:t>
            </w:r>
          </w:p>
        </w:tc>
        <w:tc>
          <w:tcPr>
            <w:tcW w:type="dxa" w:w="58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87.6%</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0.00%</w:t>
            </w:r>
          </w:p>
        </w:tc>
        <w:tc>
          <w:tcPr>
            <w:tcW w:type="dxa" w:w="5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50.3</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2.66×</w:t>
            </w:r>
          </w:p>
        </w:tc>
      </w:tr>
      <w:tr>
        <w:tc>
          <w:tcPr>
            <w:tcW w:type="dxa" w:w="15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INT8, re-calibrated</w:t>
            </w:r>
          </w:p>
        </w:tc>
        <w:tc>
          <w:tcPr>
            <w:tcW w:type="dxa" w:w="6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0.9365</w:t>
            </w:r>
          </w:p>
        </w:tc>
        <w:tc>
          <w:tcPr>
            <w:tcW w:type="dxa" w:w="6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0.897</w:t>
            </w:r>
          </w:p>
        </w:tc>
        <w:tc>
          <w:tcPr>
            <w:tcW w:type="dxa" w:w="58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86.4%</w:t>
            </w:r>
          </w:p>
        </w:tc>
        <w:tc>
          <w:tcPr>
            <w:tcW w:type="dxa" w:w="5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0.00%</w:t>
            </w:r>
          </w:p>
        </w:tc>
        <w:tc>
          <w:tcPr>
            <w:tcW w:type="dxa" w:w="5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50.3</w:t>
            </w:r>
          </w:p>
        </w:tc>
        <w:tc>
          <w:tcPr>
            <w:tcW w:type="dxa" w:w="6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2.76×</w:t>
            </w:r>
          </w:p>
        </w:tc>
      </w:tr>
    </w:tbl>
    <w:p>
      <w:pPr>
        <w:spacing w:before="40" w:after="120"/>
      </w:pPr>
      <w:r>
        <w:rPr>
          <w:sz w:val="14"/>
          <w:szCs w:val="14"/>
          <w:rFonts w:ascii="Times New Roman" w:cs="Times New Roman" w:eastAsia="Times New Roman" w:hAnsi="Times New Roman"/>
        </w:rPr>
        <w:t xml:space="preserve">Miss = exit-induced miss rate (bound ε = 0.5%). S = measured speed-up of real cascade inference over always running both exits (batch 1, host CPU, same model).</w:t>
      </w:r>
    </w:p>
    <w:p>
      <w:pPr>
        <w:spacing w:after="0" w:before="0" w:line="228" w:lineRule="auto"/>
        <w:ind w:firstLine="202"/>
        <w:jc w:val="both"/>
      </w:pPr>
      <w:r>
        <w:rPr>
          <w:sz w:val="20"/>
          <w:szCs w:val="20"/>
          <w:rFonts w:ascii="Times New Roman" w:cs="Times New Roman" w:eastAsia="Times New Roman" w:hAnsi="Times New Roman"/>
        </w:rPr>
        <w:t xml:space="preserve">Table II and Fig. 3 follow LiteCascade-R through the chain. Pruning reduces parameters from 18,092 to 16,356 and the full-path cost from 176.4K to 159.2K MACs without loss of F1 (0.9384 → 0.9390). INT8 quantization-aware training shrinks the serialized model from 86.5 to 50.3 KB at F1 0.9365. Quantization moved the Sentinel's confidences, and re-calibration changed T</w:t>
      </w:r>
      <w:r>
        <w:rPr>
          <w:sz w:val="20"/>
          <w:szCs w:val="20"/>
          <w:vertAlign w:val="subscript"/>
          <w:rFonts w:ascii="Times New Roman" w:cs="Times New Roman" w:eastAsia="Times New Roman" w:hAnsi="Times New Roman"/>
        </w:rPr>
        <w:t xml:space="preserve">1</w:t>
      </w:r>
      <w:r>
        <w:rPr>
          <w:sz w:val="20"/>
          <w:szCs w:val="20"/>
          <w:rFonts w:ascii="Times New Roman" w:cs="Times New Roman" w:eastAsia="Times New Roman" w:hAnsi="Times New Roman"/>
        </w:rPr>
        <w:t xml:space="preserve"> from 1.129 to 1.246 and τ</w:t>
      </w:r>
      <w:r>
        <w:rPr>
          <w:sz w:val="20"/>
          <w:szCs w:val="20"/>
          <w:vertAlign w:val="subscript"/>
          <w:rFonts w:ascii="Times New Roman" w:cs="Times New Roman" w:eastAsia="Times New Roman" w:hAnsi="Times New Roman"/>
        </w:rPr>
        <w:t xml:space="preserve">b</w:t>
      </w:r>
      <w:r>
        <w:rPr>
          <w:sz w:val="20"/>
          <w:szCs w:val="20"/>
          <w:rFonts w:ascii="Times New Roman" w:cs="Times New Roman" w:eastAsia="Times New Roman" w:hAnsi="Times New Roman"/>
        </w:rPr>
        <w:t xml:space="preserve"> from 0.8778 to 0.8575. For variant T, the INT8 model kept the FP32 gate produced a 0.07% exit-induced miss rate on test, and re-calibration brought it to 0.00%. Both values are below ε, so this small benchmark does not show the guarantee breaking without re-calibration; it only shows that quantization moves the confidences the gate depends on.</w:t>
      </w:r>
    </w:p>
    <w:p>
      <w:pPr>
        <w:keepNext/>
        <w:spacing w:before="120"/>
        <w:jc w:val="center"/>
      </w:pPr>
      <w:r>
        <w:drawing>
          <wp:inline distT="0" distB="0" distL="0" distR="0">
            <wp:extent cx="3048000" cy="1943100"/>
            <wp:effectExtent t="0" r="0" b="0" l="0"/>
            <wp:docPr id="1" name="fig4_stages.png" descr="Serialized size (bars), macro-F1 and exit rate ρ of LiteCascade-R after each compression step (test split, synthetic benchmark)."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1943100"/>
                    </a:xfrm>
                    <a:prstGeom prst="rect">
                      <a:avLst/>
                    </a:prstGeom>
                  </pic:spPr>
                </pic:pic>
              </a:graphicData>
            </a:graphic>
          </wp:inline>
        </w:drawing>
      </w:r>
    </w:p>
    <w:p>
      <w:pPr>
        <w:spacing w:before="40" w:after="140"/>
        <w:jc w:val="both"/>
      </w:pPr>
      <w:r>
        <w:rPr>
          <w:sz w:val="16"/>
          <w:szCs w:val="16"/>
          <w:rFonts w:ascii="Times New Roman" w:cs="Times New Roman" w:eastAsia="Times New Roman" w:hAnsi="Times New Roman"/>
        </w:rPr>
        <w:t xml:space="preserve">Fig. 3. </w:t>
      </w:r>
      <w:r>
        <w:rPr>
          <w:sz w:val="16"/>
          <w:szCs w:val="16"/>
          <w:rFonts w:ascii="Times New Roman" w:cs="Times New Roman" w:eastAsia="Times New Roman" w:hAnsi="Times New Roman"/>
        </w:rPr>
        <w:t xml:space="preserve">Serialized size (bars), macro-F1 and exit rate ρ of LiteCascade-R after each compression step (test split, synthetic benchmark).</w:t>
      </w:r>
    </w:p>
    <w:p>
      <w:pPr>
        <w:keepNext/>
        <w:spacing w:before="120" w:after="60"/>
      </w:pPr>
      <w:r>
        <w:rPr>
          <w:i/>
          <w:iCs/>
          <w:sz w:val="20"/>
          <w:szCs w:val="20"/>
          <w:rFonts w:ascii="Times New Roman" w:cs="Times New Roman" w:eastAsia="Times New Roman" w:hAnsi="Times New Roman"/>
        </w:rPr>
        <w:t xml:space="preserve">C. Risk-controlled gate</w:t>
      </w:r>
    </w:p>
    <w:p>
      <w:pPr>
        <w:spacing w:after="0" w:before="0" w:line="228" w:lineRule="auto"/>
        <w:ind w:firstLine="202"/>
        <w:jc w:val="both"/>
      </w:pPr>
      <w:r>
        <w:rPr>
          <w:sz w:val="20"/>
          <w:szCs w:val="20"/>
          <w:rFonts w:ascii="Times New Roman" w:cs="Times New Roman" w:eastAsia="Times New Roman" w:hAnsi="Times New Roman"/>
        </w:rPr>
        <w:t xml:space="preserve">The deployed INT8 LiteCascade-R gate uses ε = 0.5% and α = 0.05. The calibration split holds N</w:t>
      </w:r>
      <w:r>
        <w:rPr>
          <w:sz w:val="20"/>
          <w:szCs w:val="20"/>
          <w:vertAlign w:val="subscript"/>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 1,528 malicious windows, enough for the bound to be feasible (598 needed); it admits at most 2 exit-induced misses on calibration (U</w:t>
      </w:r>
      <w:r>
        <w:rPr>
          <w:sz w:val="20"/>
          <w:szCs w:val="20"/>
          <w:vertAlign w:val="subscript"/>
          <w:rFonts w:ascii="Times New Roman" w:cs="Times New Roman" w:eastAsia="Times New Roman" w:hAnsi="Times New Roman"/>
        </w:rPr>
        <w:t xml:space="preserve">CP</w:t>
      </w:r>
      <w:r>
        <w:rPr>
          <w:sz w:val="20"/>
          <w:szCs w:val="20"/>
          <w:rFonts w:ascii="Times New Roman" w:cs="Times New Roman" w:eastAsia="Times New Roman" w:hAnsi="Times New Roman"/>
        </w:rPr>
        <w:t xml:space="preserve"> = 0.0041). Temperature scaling reduced the Sentinel's expected calibration error from 0.0212 to 0.0118. On the unseen test devices 86.4% of windows exit at the Sentinel (90.1% when re-weighted to 1% malicious prevalence), the Analyst runs 421 times instead of 3,110, and the exit-induced miss rate is 0.00%.</w:t>
      </w:r>
    </w:p>
    <w:p>
      <w:pPr>
        <w:spacing w:after="0" w:before="0" w:line="228" w:lineRule="auto"/>
        <w:ind w:firstLine="202"/>
        <w:jc w:val="both"/>
      </w:pPr>
      <w:r>
        <w:rPr>
          <w:sz w:val="20"/>
          <w:szCs w:val="20"/>
          <w:rFonts w:ascii="Times New Roman" w:cs="Times New Roman" w:eastAsia="Times New Roman" w:hAnsi="Times New Roman"/>
        </w:rPr>
        <w:t xml:space="preserve">Fig. 4 sweeps ε using the same calibration outputs. At ε = 0.1% the bound is infeasible, benign exits are disabled and only alerts can exit (ρ = 38.9%). From ε = 0.2% the exit rate jumps to 84.4% and rises to 93.6% at ε = 5%. Across the sweep the measured test miss rate stays below ε (for example 0.52% at ε = 2% and 2.09% at ε = 5%), and macro-F1 varies only between 0.933 and 0.938. The analytic speed-up from (6) at the deployed operating point is 2.42× in MACs; the measured wall-clock speed-up of real cascade inference is 2.76×.</w:t>
      </w:r>
    </w:p>
    <w:p>
      <w:pPr>
        <w:keepNext/>
        <w:spacing w:before="120"/>
        <w:jc w:val="center"/>
      </w:pPr>
      <w:r>
        <w:drawing>
          <wp:inline distT="0" distB="0" distL="0" distR="0">
            <wp:extent cx="3048000" cy="2028825"/>
            <wp:effectExtent t="0" r="0" b="0" l="0"/>
            <wp:docPr id="1" name="fig3_gate.png" descr="Exit rate, macro-F1 and exit-induced miss rate on the test devices as functions of the risk budget ε (α = 0.05); dotted: the bound ε. Shaded: infeasible (benign exit disabled). Dashed vertical: deployed ε = 0.5%."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028825"/>
                    </a:xfrm>
                    <a:prstGeom prst="rect">
                      <a:avLst/>
                    </a:prstGeom>
                  </pic:spPr>
                </pic:pic>
              </a:graphicData>
            </a:graphic>
          </wp:inline>
        </w:drawing>
      </w:r>
    </w:p>
    <w:p>
      <w:pPr>
        <w:spacing w:before="40" w:after="140"/>
        <w:jc w:val="both"/>
      </w:pPr>
      <w:r>
        <w:rPr>
          <w:sz w:val="16"/>
          <w:szCs w:val="16"/>
          <w:rFonts w:ascii="Times New Roman" w:cs="Times New Roman" w:eastAsia="Times New Roman" w:hAnsi="Times New Roman"/>
        </w:rPr>
        <w:t xml:space="preserve">Fig. 4. </w:t>
      </w:r>
      <w:r>
        <w:rPr>
          <w:sz w:val="16"/>
          <w:szCs w:val="16"/>
          <w:rFonts w:ascii="Times New Roman" w:cs="Times New Roman" w:eastAsia="Times New Roman" w:hAnsi="Times New Roman"/>
        </w:rPr>
        <w:t xml:space="preserve">Exit rate, macro-F1 and exit-induced miss rate on the test devices as functions of the risk budget ε (α = 0.05); dotted: the bound ε. Shaded: infeasible (benign exit disabled). Dashed vertical: deployed ε = 0.5%.</w:t>
      </w:r>
    </w:p>
    <w:p>
      <w:pPr>
        <w:keepNext/>
        <w:spacing w:before="120" w:after="60"/>
      </w:pPr>
      <w:r>
        <w:rPr>
          <w:i/>
          <w:iCs/>
          <w:sz w:val="20"/>
          <w:szCs w:val="20"/>
          <w:rFonts w:ascii="Times New Roman" w:cs="Times New Roman" w:eastAsia="Times New Roman" w:hAnsi="Times New Roman"/>
        </w:rPr>
        <w:t xml:space="preserve">D. Ablations</w:t>
      </w:r>
    </w:p>
    <w:p>
      <w:pPr>
        <w:keepNext/>
        <w:spacing w:before="120"/>
        <w:jc w:val="center"/>
      </w:pPr>
      <w:r>
        <w:rPr>
          <w:sz w:val="16"/>
          <w:szCs w:val="16"/>
          <w:rFonts w:ascii="Times New Roman" w:cs="Times New Roman" w:eastAsia="Times New Roman" w:hAnsi="Times New Roman"/>
        </w:rPr>
        <w:t xml:space="preserve">TABLE III</w:t>
      </w:r>
    </w:p>
    <w:p>
      <w:pPr>
        <w:keepNext/>
        <w:spacing w:after="60"/>
        <w:jc w:val="center"/>
      </w:pPr>
      <w:r>
        <w:rPr>
          <w:sz w:val="16"/>
          <w:szCs w:val="16"/>
          <w:smallCaps/>
          <w:rFonts w:ascii="Times New Roman" w:cs="Times New Roman" w:eastAsia="Times New Roman" w:hAnsi="Times New Roman"/>
        </w:rPr>
        <w:t xml:space="preserve">Ablations before compression (test split)</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820"/>
        <w:gridCol w:w="640"/>
        <w:gridCol w:w="620"/>
        <w:gridCol w:w="620"/>
        <w:gridCol w:w="640"/>
        <w:gridCol w:w="700"/>
      </w:tblGrid>
      <w:tr>
        <w:trPr>
          <w:tblHeader/>
        </w:trPr>
        <w:tc>
          <w:tcPr>
            <w:tcW w:type="dxa" w:w="182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b/>
                <w:bCs/>
                <w:sz w:val="14"/>
                <w:szCs w:val="14"/>
                <w:rFonts w:ascii="Times New Roman" w:cs="Times New Roman" w:eastAsia="Times New Roman" w:hAnsi="Times New Roman"/>
              </w:rPr>
              <w:t xml:space="preserve">Configuration</w:t>
            </w:r>
          </w:p>
        </w:tc>
        <w:tc>
          <w:tcPr>
            <w:tcW w:type="dxa" w:w="6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bCs/>
                <w:sz w:val="14"/>
                <w:szCs w:val="14"/>
                <w:rFonts w:ascii="Times New Roman" w:cs="Times New Roman" w:eastAsia="Times New Roman" w:hAnsi="Times New Roman"/>
              </w:rPr>
              <w:t xml:space="preserve">F1</w:t>
            </w:r>
          </w:p>
        </w:tc>
        <w:tc>
          <w:tcPr>
            <w:tcW w:type="dxa" w:w="62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bCs/>
                <w:sz w:val="14"/>
                <w:szCs w:val="14"/>
                <w:rFonts w:ascii="Times New Roman" w:cs="Times New Roman" w:eastAsia="Times New Roman" w:hAnsi="Times New Roman"/>
              </w:rPr>
              <w:t xml:space="preserve">Recall</w:t>
            </w:r>
          </w:p>
        </w:tc>
        <w:tc>
          <w:tcPr>
            <w:tcW w:type="dxa" w:w="62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bCs/>
                <w:sz w:val="14"/>
                <w:szCs w:val="14"/>
                <w:rFonts w:ascii="Times New Roman" w:cs="Times New Roman" w:eastAsia="Times New Roman" w:hAnsi="Times New Roman"/>
              </w:rPr>
              <w:t xml:space="preserve">ρ</w:t>
            </w:r>
          </w:p>
        </w:tc>
        <w:tc>
          <w:tcPr>
            <w:tcW w:type="dxa" w:w="6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bCs/>
                <w:sz w:val="14"/>
                <w:szCs w:val="14"/>
                <w:rFonts w:ascii="Times New Roman" w:cs="Times New Roman" w:eastAsia="Times New Roman" w:hAnsi="Times New Roman"/>
              </w:rPr>
              <w:t xml:space="preserve">Miss</w:t>
            </w:r>
          </w:p>
        </w:tc>
        <w:tc>
          <w:tcPr>
            <w:tcW w:type="dxa" w:w="7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b/>
                <w:bCs/>
                <w:sz w:val="14"/>
                <w:szCs w:val="14"/>
                <w:rFonts w:ascii="Times New Roman" w:cs="Times New Roman" w:eastAsia="Times New Roman" w:hAnsi="Times New Roman"/>
              </w:rPr>
              <w:t xml:space="preserve">Sent. F1</w:t>
            </w:r>
          </w:p>
        </w:tc>
      </w:tr>
      <w:tr>
        <w:tc>
          <w:tcPr>
            <w:tcW w:type="dxa" w:w="18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Full</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0.9384</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0.895</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88.2%</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0.20%</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0.938</w:t>
            </w:r>
          </w:p>
        </w:tc>
      </w:tr>
      <w:tr>
        <w:tc>
          <w:tcPr>
            <w:tcW w:type="dxa" w:w="18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 PIP initialisation (random PIP)</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0.9195</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0.841</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93.0%</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0.13%</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0.935</w:t>
            </w:r>
          </w:p>
        </w:tc>
      </w:tr>
      <w:tr>
        <w:tc>
          <w:tcPr>
            <w:tcW w:type="dxa" w:w="18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 teacher KD</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0.9271</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0.889</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85.9%</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0.20%</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0.945</w:t>
            </w:r>
          </w:p>
        </w:tc>
      </w:tr>
      <w:tr>
        <w:tc>
          <w:tcPr>
            <w:tcW w:type="dxa" w:w="18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 self-KD </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0.9313</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0.889</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86.9%</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0.13%</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0.936</w:t>
            </w:r>
          </w:p>
        </w:tc>
      </w:tr>
      <w:tr>
        <w:tc>
          <w:tcPr>
            <w:tcW w:type="dxa" w:w="18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 temperature scaling</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0.9384</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0.895</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88.2%</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0.20%</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0.938</w:t>
            </w:r>
          </w:p>
        </w:tc>
      </w:tr>
      <w:tr>
        <w:tc>
          <w:tcPr>
            <w:tcW w:type="dxa" w:w="18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naive gate (τ = 0.9)</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0.9387</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0.897</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86.3%</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0.00%</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0.938</w:t>
            </w:r>
          </w:p>
        </w:tc>
      </w:tr>
      <w:tr>
        <w:tc>
          <w:tcPr>
            <w:tcW w:type="dxa" w:w="18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conservative CP gate</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0.9365</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0.897</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75.0%</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0.00%</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0.938</w:t>
            </w:r>
          </w:p>
        </w:tc>
      </w:tr>
      <w:tr>
        <w:tc>
          <w:tcPr>
            <w:tcW w:type="dxa" w:w="18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verify alerts</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0.9371</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0.893</w:t>
            </w:r>
          </w:p>
        </w:tc>
        <w:tc>
          <w:tcPr>
            <w:tcW w:type="dxa" w:w="6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49.2%</w:t>
            </w:r>
          </w:p>
        </w:tc>
        <w:tc>
          <w:tcPr>
            <w:tcW w:type="dxa" w:w="6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0.20%</w:t>
            </w:r>
          </w:p>
        </w:tc>
        <w:tc>
          <w:tcPr>
            <w:tcW w:type="dxa" w:w="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0.938</w:t>
            </w:r>
          </w:p>
        </w:tc>
      </w:tr>
      <w:tr>
        <w:tc>
          <w:tcPr>
            <w:tcW w:type="dxa" w:w="18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b w:val="false"/>
                <w:bCs w:val="false"/>
                <w:sz w:val="14"/>
                <w:szCs w:val="14"/>
                <w:rFonts w:ascii="Times New Roman" w:cs="Times New Roman" w:eastAsia="Times New Roman" w:hAnsi="Times New Roman"/>
              </w:rPr>
              <w:t xml:space="preserve">variant T</w:t>
            </w:r>
          </w:p>
        </w:tc>
        <w:tc>
          <w:tcPr>
            <w:tcW w:type="dxa" w:w="6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0.9290</w:t>
            </w:r>
          </w:p>
        </w:tc>
        <w:tc>
          <w:tcPr>
            <w:tcW w:type="dxa" w:w="6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0.879</w:t>
            </w:r>
          </w:p>
        </w:tc>
        <w:tc>
          <w:tcPr>
            <w:tcW w:type="dxa" w:w="6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80.8%</w:t>
            </w:r>
          </w:p>
        </w:tc>
        <w:tc>
          <w:tcPr>
            <w:tcW w:type="dxa" w:w="6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0.00%</w:t>
            </w:r>
          </w:p>
        </w:tc>
        <w:tc>
          <w:tcPr>
            <w:tcW w:type="dxa" w:w="7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b w:val="false"/>
                <w:bCs w:val="false"/>
                <w:sz w:val="14"/>
                <w:szCs w:val="14"/>
                <w:rFonts w:ascii="Times New Roman" w:cs="Times New Roman" w:eastAsia="Times New Roman" w:hAnsi="Times New Roman"/>
              </w:rPr>
              <w:t xml:space="preserve">0.934</w:t>
            </w:r>
          </w:p>
        </w:tc>
      </w:tr>
    </w:tbl>
    <w:p>
      <w:pPr>
        <w:spacing w:after="100"/>
      </w:pPr>
    </w:p>
    <w:p>
      <w:pPr>
        <w:spacing w:after="0" w:before="0" w:line="228" w:lineRule="auto"/>
        <w:ind w:firstLine="202"/>
        <w:jc w:val="both"/>
      </w:pPr>
      <w:r>
        <w:rPr>
          <w:sz w:val="20"/>
          <w:szCs w:val="20"/>
          <w:rFonts w:ascii="Times New Roman" w:cs="Times New Roman" w:eastAsia="Times New Roman" w:hAnsi="Times New Roman"/>
        </w:rPr>
        <w:t xml:space="preserve">Table III removes one component at a time (FP32, no pruning). Random instead of PCA initialisation of the projection costs the most: F1 falls from 0.9384 to 0.9195 and recall from 0.895 to 0.841. Removing teacher distillation lowers the Analyst's F1 from 0.9352 to 0.9207, and removing self-distillation also lowers cascade F1 (0.9313). Removing temperature scaling changes nothing. That is expected for a binary task: temperature is a monotone transform of p</w:t>
      </w:r>
      <w:r>
        <w:rPr>
          <w:sz w:val="20"/>
          <w:szCs w:val="20"/>
          <w:vertAlign w:val="subscript"/>
          <w:rFonts w:ascii="Times New Roman" w:cs="Times New Roman" w:eastAsia="Times New Roman" w:hAnsi="Times New Roman"/>
        </w:rPr>
        <w:t xml:space="preserve">1,0</w:t>
      </w:r>
      <w:r>
        <w:rPr>
          <w:sz w:val="20"/>
          <w:szCs w:val="20"/>
          <w:rFonts w:ascii="Times New Roman" w:cs="Times New Roman" w:eastAsia="Times New Roman" w:hAnsi="Times New Roman"/>
        </w:rPr>
        <w:t xml:space="preserve">, so a threshold chosen by quantile on the calibration set selects the same exits; temperature still matters for the reported probabilities and their calibration error. A naive fixed gate (τ = 0.9) happens to work on this benchmark (miss 0.00%) but carries no guarantee. The conservative variant, which counts every malicious benign exit as a miss whether or not the Analyst would have caught it, lowers ρ to 75.0%; verifying every alert with the Analyst lowers it to 49.2%.</w:t>
      </w:r>
    </w:p>
    <w:p>
      <w:pPr>
        <w:keepNext/>
        <w:spacing w:before="120" w:after="60"/>
      </w:pPr>
      <w:r>
        <w:rPr>
          <w:i/>
          <w:iCs/>
          <w:sz w:val="20"/>
          <w:szCs w:val="20"/>
          <w:rFonts w:ascii="Times New Roman" w:cs="Times New Roman" w:eastAsia="Times New Roman" w:hAnsi="Times New Roman"/>
        </w:rPr>
        <w:t xml:space="preserve">E. Parameter budget and genuine early exit</w:t>
      </w:r>
    </w:p>
    <w:p>
      <w:pPr>
        <w:spacing w:after="0" w:before="0" w:line="228" w:lineRule="auto"/>
        <w:ind w:firstLine="202"/>
        <w:jc w:val="both"/>
      </w:pPr>
      <w:r>
        <w:rPr>
          <w:sz w:val="20"/>
          <w:szCs w:val="20"/>
          <w:rFonts w:ascii="Times New Roman" w:cs="Times New Roman" w:eastAsia="Times New Roman" w:hAnsi="Times New Roman"/>
        </w:rPr>
        <w:t xml:space="preserve">For F = 115 before pruning, the Sentinel exit has 746 parameters (target below 2K), the Analyst exit 12,722 and the whole network 18,092 (target about 20K). The Sentinel path costs 52.9K MACs and the full path 176.4K, close to the analytic estimates of 0.06M and 0.18M. Early exit is genuine: in the deployed code the Analyst is executed only on windows the gate did not release, which our tests verify with a forward hook. Live batched inference agrees with offline two-head evaluation on 100.00% of test windows for INT8 LiteCascade-R and 99.94% for INT8 LiteCascade-T; the small gap comes from dynamic quantization, whose activation scales depend on the contents of each batch.</w:t>
      </w:r>
    </w:p>
    <w:p>
      <w:pPr>
        <w:keepNext/>
        <w:spacing w:before="200" w:after="100"/>
        <w:jc w:val="center"/>
      </w:pPr>
      <w:r>
        <w:rPr>
          <w:sz w:val="20"/>
          <w:szCs w:val="20"/>
          <w:smallCaps/>
          <w:rFonts w:ascii="Times New Roman" w:cs="Times New Roman" w:eastAsia="Times New Roman" w:hAnsi="Times New Roman"/>
        </w:rPr>
        <w:t xml:space="preserve">VII. Limitations and Threats to Validity</w:t>
      </w:r>
    </w:p>
    <w:p>
      <w:pPr>
        <w:spacing w:after="0" w:before="0" w:line="228" w:lineRule="auto"/>
        <w:ind w:firstLine="202"/>
        <w:jc w:val="both"/>
      </w:pPr>
      <w:r>
        <w:rPr>
          <w:sz w:val="20"/>
          <w:szCs w:val="20"/>
          <w:rFonts w:ascii="Times New Roman" w:cs="Times New Roman" w:eastAsia="Times New Roman" w:hAnsi="Times New Roman"/>
        </w:rPr>
        <w:t xml:space="preserve">(i) All results come from a synthetic benchmark. On it the Sentinel alone is almost as accurate as the Analyst, so the benchmark is easier than real traffic, and small baselines are as accurate as the cascade. (ii) No real-dataset or on-device result is reported; latencies are PyTorch eager on a desktop CPU, where INT8 kernels are slower than FP32, so INT8 here buys size, not speed. TFLite / TFLite-Micro export, energy measurement and microcontroller deployment remain to be done. (iii) The guarantee assumes exchangeable calibration and test windows and bounds only the extra misses caused by early exit, not the Analyst's own errors; it may fail under drift or for unseen attack families. (iv) τ</w:t>
      </w:r>
      <w:r>
        <w:rPr>
          <w:sz w:val="20"/>
          <w:szCs w:val="20"/>
          <w:vertAlign w:val="subscript"/>
          <w:rFonts w:ascii="Times New Roman" w:cs="Times New Roman" w:eastAsia="Times New Roman" w:hAnsi="Times New Roman"/>
        </w:rPr>
        <w:t xml:space="preserve">m</w:t>
      </w:r>
      <w:r>
        <w:rPr>
          <w:sz w:val="20"/>
          <w:szCs w:val="20"/>
          <w:rFonts w:ascii="Times New Roman" w:cs="Times New Roman" w:eastAsia="Times New Roman" w:hAnsi="Times New Roman"/>
        </w:rPr>
        <w:t xml:space="preserve"> is an empirical choice. (v) Baselines are re-implementations. (vi) Windows are labelled by their last record, so a window spanning an attack onset is scored as the later class.</w:t>
      </w:r>
    </w:p>
    <w:p>
      <w:pPr>
        <w:keepNext/>
        <w:spacing w:before="200" w:after="100"/>
        <w:jc w:val="center"/>
      </w:pPr>
      <w:r>
        <w:rPr>
          <w:sz w:val="20"/>
          <w:szCs w:val="20"/>
          <w:smallCaps/>
          <w:rFonts w:ascii="Times New Roman" w:cs="Times New Roman" w:eastAsia="Times New Roman" w:hAnsi="Times New Roman"/>
        </w:rPr>
        <w:t xml:space="preserve">VIII. Conclusion</w:t>
      </w:r>
    </w:p>
    <w:p>
      <w:pPr>
        <w:spacing w:after="0" w:before="0" w:line="228" w:lineRule="auto"/>
        <w:ind w:firstLine="202"/>
        <w:jc w:val="both"/>
      </w:pPr>
      <w:r>
        <w:rPr>
          <w:sz w:val="20"/>
          <w:szCs w:val="20"/>
          <w:rFonts w:ascii="Times New Roman" w:cs="Times New Roman" w:eastAsia="Times New Roman" w:hAnsi="Times New Roman"/>
        </w:rPr>
        <w:t xml:space="preserve">LiteCascade couples a PCA-initialised projection, a two-exit deep network trained with two-way distillation, a Clopper–Pearson-controlled early-exit gate and an ordered compression chain. On a synthetic N-BaIoT-format benchmark its INT8 variant matches a 45× larger teacher with 50 KB of weights while most windows skip the Analyst and the measured exit-induced miss rate stays within the chosen budget. The open pipeline, eleven deep comparison models and live dashboard make the next steps concrete: running the same protocol on N-BaIoT, CICIoT2023 and IoT-23; leave-one-family-out and perturbation tests of the guarantee under shift; and measuring latency, memory and energy on Raspberry Pi and microcontroller targets.</w:t>
      </w:r>
    </w:p>
    <w:p>
      <w:pPr>
        <w:spacing w:before="200" w:after="100"/>
        <w:jc w:val="center"/>
      </w:pPr>
      <w:r>
        <w:rPr>
          <w:sz w:val="20"/>
          <w:szCs w:val="20"/>
          <w:smallCaps/>
          <w:rFonts w:ascii="Times New Roman" w:cs="Times New Roman" w:eastAsia="Times New Roman" w:hAnsi="Times New Roman"/>
        </w:rPr>
        <w:t xml:space="preserve">References</w:t>
      </w:r>
    </w:p>
    <w:p>
      <w:pPr>
        <w:tabs>
          <w:tab w:val="left" w:pos="360"/>
        </w:tabs>
        <w:spacing w:after="30"/>
        <w:ind w:left="360" w:hanging="360"/>
        <w:jc w:val="both"/>
      </w:pPr>
      <w:r>
        <w:rPr>
          <w:sz w:val="16"/>
          <w:szCs w:val="16"/>
          <w:rFonts w:ascii="Times New Roman" w:cs="Times New Roman" w:eastAsia="Times New Roman" w:hAnsi="Times New Roman"/>
        </w:rPr>
        <w:t xml:space="preserve">[1]	M. Antonakakis et al., “Understanding the Mirai botnet,” in Proc. 26th USENIX Security Symp., 2017, pp. 1093–1110.</w:t>
      </w:r>
    </w:p>
    <w:p>
      <w:pPr>
        <w:tabs>
          <w:tab w:val="left" w:pos="360"/>
        </w:tabs>
        <w:spacing w:after="30"/>
        <w:ind w:left="360" w:hanging="360"/>
        <w:jc w:val="both"/>
      </w:pPr>
      <w:r>
        <w:rPr>
          <w:sz w:val="16"/>
          <w:szCs w:val="16"/>
          <w:rFonts w:ascii="Times New Roman" w:cs="Times New Roman" w:eastAsia="Times New Roman" w:hAnsi="Times New Roman"/>
        </w:rPr>
        <w:t xml:space="preserve">[2]	A. A. Almazroi and N. Ayub, “Deep learning hybridization for improved malware detection in smart Internet of Things,” Sci. Rep., vol. 14, 2024.</w:t>
      </w:r>
    </w:p>
    <w:p>
      <w:pPr>
        <w:tabs>
          <w:tab w:val="left" w:pos="360"/>
        </w:tabs>
        <w:spacing w:after="30"/>
        <w:ind w:left="360" w:hanging="360"/>
        <w:jc w:val="both"/>
      </w:pPr>
      <w:r>
        <w:rPr>
          <w:sz w:val="16"/>
          <w:szCs w:val="16"/>
          <w:rFonts w:ascii="Times New Roman" w:cs="Times New Roman" w:eastAsia="Times New Roman" w:hAnsi="Times New Roman"/>
        </w:rPr>
        <w:t xml:space="preserve">[3]	M. Jouhari and M. Guizani, “Lightweight CNN-BiLSTM based intrusion detection systems for resource-constrained IoT devices,” arXiv:2406.02768, 2024.</w:t>
      </w:r>
    </w:p>
    <w:p>
      <w:pPr>
        <w:tabs>
          <w:tab w:val="left" w:pos="360"/>
        </w:tabs>
        <w:spacing w:after="30"/>
        <w:ind w:left="360" w:hanging="360"/>
        <w:jc w:val="both"/>
      </w:pPr>
      <w:r>
        <w:rPr>
          <w:sz w:val="16"/>
          <w:szCs w:val="16"/>
          <w:rFonts w:ascii="Times New Roman" w:cs="Times New Roman" w:eastAsia="Times New Roman" w:hAnsi="Times New Roman"/>
        </w:rPr>
        <w:t xml:space="preserve">[4]	S. U. Qureshi et al., “Systematic review of deep learning solutions for malware detection and forensic analysis in IoT,” J. King Saud Univ. Comput. Inf. Sci., vol. 36, no. 8, p. 102164, 2024.</w:t>
      </w:r>
    </w:p>
    <w:p>
      <w:pPr>
        <w:tabs>
          <w:tab w:val="left" w:pos="360"/>
        </w:tabs>
        <w:spacing w:after="30"/>
        <w:ind w:left="360" w:hanging="360"/>
        <w:jc w:val="both"/>
      </w:pPr>
      <w:r>
        <w:rPr>
          <w:sz w:val="16"/>
          <w:szCs w:val="16"/>
          <w:rFonts w:ascii="Times New Roman" w:cs="Times New Roman" w:eastAsia="Times New Roman" w:hAnsi="Times New Roman"/>
        </w:rPr>
        <w:t xml:space="preserve">[5]	Z. Wang, H. Chen, S. Yang, X. Luo, D. Li, and J. Wang, “A lightweight intrusion detection method for IoT based on deep learning and dynamic quantization,” PeerJ Comput. Sci., vol. 9, p. e1569, 2023.</w:t>
      </w:r>
    </w:p>
    <w:p>
      <w:pPr>
        <w:tabs>
          <w:tab w:val="left" w:pos="360"/>
        </w:tabs>
        <w:spacing w:after="30"/>
        <w:ind w:left="360" w:hanging="360"/>
        <w:jc w:val="both"/>
      </w:pPr>
      <w:r>
        <w:rPr>
          <w:sz w:val="16"/>
          <w:szCs w:val="16"/>
          <w:rFonts w:ascii="Times New Roman" w:cs="Times New Roman" w:eastAsia="Times New Roman" w:hAnsi="Times New Roman"/>
        </w:rPr>
        <w:t xml:space="preserve">[6]	S. Anand, B. Mitra, S. Dey, A. Rao, R. Dhar, and J. Vaidya, “MALITE: Lightweight malware detection and classification for constrained devices,” arXiv:2309.03294, 2023.</w:t>
      </w:r>
    </w:p>
    <w:p>
      <w:pPr>
        <w:tabs>
          <w:tab w:val="left" w:pos="360"/>
        </w:tabs>
        <w:spacing w:after="30"/>
        <w:ind w:left="360" w:hanging="360"/>
        <w:jc w:val="both"/>
      </w:pPr>
      <w:r>
        <w:rPr>
          <w:sz w:val="16"/>
          <w:szCs w:val="16"/>
          <w:rFonts w:ascii="Times New Roman" w:cs="Times New Roman" w:eastAsia="Times New Roman" w:hAnsi="Times New Roman"/>
        </w:rPr>
        <w:t xml:space="preserve">[7]	S. Teerapittayanon, B. McDanel, and H. T. Kung, “BranchyNet: Fast inference via early exiting from deep neural networks,” in Proc. ICPR, 2016, pp. 2464–2469.</w:t>
      </w:r>
    </w:p>
    <w:p>
      <w:pPr>
        <w:tabs>
          <w:tab w:val="left" w:pos="360"/>
        </w:tabs>
        <w:spacing w:after="30"/>
        <w:ind w:left="360" w:hanging="360"/>
        <w:jc w:val="both"/>
      </w:pPr>
      <w:r>
        <w:rPr>
          <w:sz w:val="16"/>
          <w:szCs w:val="16"/>
          <w:rFonts w:ascii="Times New Roman" w:cs="Times New Roman" w:eastAsia="Times New Roman" w:hAnsi="Times New Roman"/>
        </w:rPr>
        <w:t xml:space="preserve">[8]	I. Katib et al., “DLTML-RTADPM,” [complete venue, volume, pages and DOI before submission].</w:t>
      </w:r>
    </w:p>
    <w:p>
      <w:pPr>
        <w:tabs>
          <w:tab w:val="left" w:pos="360"/>
        </w:tabs>
        <w:spacing w:after="30"/>
        <w:ind w:left="360" w:hanging="360"/>
        <w:jc w:val="both"/>
      </w:pPr>
      <w:r>
        <w:rPr>
          <w:sz w:val="16"/>
          <w:szCs w:val="16"/>
          <w:rFonts w:ascii="Times New Roman" w:cs="Times New Roman" w:eastAsia="Times New Roman" w:hAnsi="Times New Roman"/>
        </w:rPr>
        <w:t xml:space="preserve">[9]	V. Pai et al., “Systematic approach for malware detection in IoT devices: Enhancing security and performance,” Int. J. Comput. Intell. Syst., vol. 18, art. 196, 2025.</w:t>
      </w:r>
    </w:p>
    <w:p>
      <w:pPr>
        <w:tabs>
          <w:tab w:val="left" w:pos="360"/>
        </w:tabs>
        <w:spacing w:after="30"/>
        <w:ind w:left="360" w:hanging="360"/>
        <w:jc w:val="both"/>
      </w:pPr>
      <w:r>
        <w:rPr>
          <w:sz w:val="16"/>
          <w:szCs w:val="16"/>
          <w:rFonts w:ascii="Times New Roman" w:cs="Times New Roman" w:eastAsia="Times New Roman" w:hAnsi="Times New Roman"/>
        </w:rPr>
        <w:t xml:space="preserve">[10]	S. Bai, J. Z. Kolter, and V. Koltun, “An empirical evaluation of generic convolutional and recurrent networks for sequence modeling,” arXiv:1803.01271, 2018.</w:t>
      </w:r>
    </w:p>
    <w:p>
      <w:pPr>
        <w:tabs>
          <w:tab w:val="left" w:pos="360"/>
        </w:tabs>
        <w:spacing w:after="30"/>
        <w:ind w:left="360" w:hanging="360"/>
        <w:jc w:val="both"/>
      </w:pPr>
      <w:r>
        <w:rPr>
          <w:sz w:val="16"/>
          <w:szCs w:val="16"/>
          <w:rFonts w:ascii="Times New Roman" w:cs="Times New Roman" w:eastAsia="Times New Roman" w:hAnsi="Times New Roman"/>
        </w:rPr>
        <w:t xml:space="preserve">[11]	K. He, X. Zhang, S. Ren, and J. Sun, “Deep residual learning for image recognition,” in Proc. CVPR, 2016, pp. 770–778.</w:t>
      </w:r>
    </w:p>
    <w:p>
      <w:pPr>
        <w:tabs>
          <w:tab w:val="left" w:pos="360"/>
        </w:tabs>
        <w:spacing w:after="30"/>
        <w:ind w:left="360" w:hanging="360"/>
        <w:jc w:val="both"/>
      </w:pPr>
      <w:r>
        <w:rPr>
          <w:sz w:val="16"/>
          <w:szCs w:val="16"/>
          <w:rFonts w:ascii="Times New Roman" w:cs="Times New Roman" w:eastAsia="Times New Roman" w:hAnsi="Times New Roman"/>
        </w:rPr>
        <w:t xml:space="preserve">[12]	K. Cho et al., “Learning phrase representations using RNN encoder–decoder for statistical machine translation,” in Proc. EMNLP, 2014, pp. 1724–1734.</w:t>
      </w:r>
    </w:p>
    <w:p>
      <w:pPr>
        <w:tabs>
          <w:tab w:val="left" w:pos="360"/>
        </w:tabs>
        <w:spacing w:after="30"/>
        <w:ind w:left="360" w:hanging="360"/>
        <w:jc w:val="both"/>
      </w:pPr>
      <w:r>
        <w:rPr>
          <w:sz w:val="16"/>
          <w:szCs w:val="16"/>
          <w:rFonts w:ascii="Times New Roman" w:cs="Times New Roman" w:eastAsia="Times New Roman" w:hAnsi="Times New Roman"/>
        </w:rPr>
        <w:t xml:space="preserve">[13]	G. Hinton, O. Vinyals, and J. Dean, “Distilling the knowledge in a neural network,” arXiv:1503.02531, 2015.</w:t>
      </w:r>
    </w:p>
    <w:p>
      <w:pPr>
        <w:tabs>
          <w:tab w:val="left" w:pos="360"/>
        </w:tabs>
        <w:spacing w:after="30"/>
        <w:ind w:left="360" w:hanging="360"/>
        <w:jc w:val="both"/>
      </w:pPr>
      <w:r>
        <w:rPr>
          <w:sz w:val="16"/>
          <w:szCs w:val="16"/>
          <w:rFonts w:ascii="Times New Roman" w:cs="Times New Roman" w:eastAsia="Times New Roman" w:hAnsi="Times New Roman"/>
        </w:rPr>
        <w:t xml:space="preserve">[14]	S. Han, H. Mao, and W. J. Dally, “Deep compression: Compressing deep neural networks with pruning, trained quantization and Huffman coding,” in Proc. ICLR, 2016.</w:t>
      </w:r>
    </w:p>
    <w:p>
      <w:pPr>
        <w:tabs>
          <w:tab w:val="left" w:pos="360"/>
        </w:tabs>
        <w:spacing w:after="30"/>
        <w:ind w:left="360" w:hanging="360"/>
        <w:jc w:val="both"/>
      </w:pPr>
      <w:r>
        <w:rPr>
          <w:sz w:val="16"/>
          <w:szCs w:val="16"/>
          <w:rFonts w:ascii="Times New Roman" w:cs="Times New Roman" w:eastAsia="Times New Roman" w:hAnsi="Times New Roman"/>
        </w:rPr>
        <w:t xml:space="preserve">[15]	B. Jacob et al., “Quantization and training of neural networks for efficient integer-arithmetic-only inference,” in Proc. CVPR, 2018, pp. 2704–2713.</w:t>
      </w:r>
    </w:p>
    <w:p>
      <w:pPr>
        <w:tabs>
          <w:tab w:val="left" w:pos="360"/>
        </w:tabs>
        <w:spacing w:after="30"/>
        <w:ind w:left="360" w:hanging="360"/>
        <w:jc w:val="both"/>
      </w:pPr>
      <w:r>
        <w:rPr>
          <w:sz w:val="16"/>
          <w:szCs w:val="16"/>
          <w:rFonts w:ascii="Times New Roman" w:cs="Times New Roman" w:eastAsia="Times New Roman" w:hAnsi="Times New Roman"/>
        </w:rPr>
        <w:t xml:space="preserve">[16]	C. Guo, G. Pleiss, Y. Sun, and K. Q. Weinberger, “On calibration of modern neural networks,” in Proc. ICML, 2017, pp. 1321–1330.</w:t>
      </w:r>
    </w:p>
    <w:p>
      <w:pPr>
        <w:tabs>
          <w:tab w:val="left" w:pos="360"/>
        </w:tabs>
        <w:spacing w:after="30"/>
        <w:ind w:left="360" w:hanging="360"/>
        <w:jc w:val="both"/>
      </w:pPr>
      <w:r>
        <w:rPr>
          <w:sz w:val="16"/>
          <w:szCs w:val="16"/>
          <w:rFonts w:ascii="Times New Roman" w:cs="Times New Roman" w:eastAsia="Times New Roman" w:hAnsi="Times New Roman"/>
        </w:rPr>
        <w:t xml:space="preserve">[17]	A. N. Angelopoulos, S. Bates, E. J. Candès, M. I. Jordan, and L. Lei, “Learn then test: Calibrating predictive algorithms to achieve risk control,” arXiv:2110.01052, 2021.</w:t>
      </w:r>
    </w:p>
    <w:p>
      <w:pPr>
        <w:tabs>
          <w:tab w:val="left" w:pos="360"/>
        </w:tabs>
        <w:spacing w:after="30"/>
        <w:ind w:left="360" w:hanging="360"/>
        <w:jc w:val="both"/>
      </w:pPr>
      <w:r>
        <w:rPr>
          <w:sz w:val="16"/>
          <w:szCs w:val="16"/>
          <w:rFonts w:ascii="Times New Roman" w:cs="Times New Roman" w:eastAsia="Times New Roman" w:hAnsi="Times New Roman"/>
        </w:rPr>
        <w:t xml:space="preserve">[18]	C. J. Clopper and E. S. Pearson, “The use of confidence or fiducial limits illustrated in the case of the binomial,” Biometrika, vol. 26, no. 4, pp. 404–413, 1934.</w:t>
      </w:r>
    </w:p>
    <w:p>
      <w:pPr>
        <w:tabs>
          <w:tab w:val="left" w:pos="360"/>
        </w:tabs>
        <w:spacing w:after="30"/>
        <w:ind w:left="360" w:hanging="360"/>
        <w:jc w:val="both"/>
      </w:pPr>
      <w:r>
        <w:rPr>
          <w:sz w:val="16"/>
          <w:szCs w:val="16"/>
          <w:rFonts w:ascii="Times New Roman" w:cs="Times New Roman" w:eastAsia="Times New Roman" w:hAnsi="Times New Roman"/>
        </w:rPr>
        <w:t xml:space="preserve">[19]	M. Sandler, A. Howard, M. Zhu, A. Zhmoginov, and L.-C. Chen, “MobileNetV2: Inverted residuals and linear bottlenecks,” in Proc. CVPR, 2018, pp. 4510–4520.</w:t>
      </w:r>
    </w:p>
    <w:p>
      <w:pPr>
        <w:tabs>
          <w:tab w:val="left" w:pos="360"/>
        </w:tabs>
        <w:spacing w:after="30"/>
        <w:ind w:left="360" w:hanging="360"/>
        <w:jc w:val="both"/>
      </w:pPr>
      <w:r>
        <w:rPr>
          <w:sz w:val="16"/>
          <w:szCs w:val="16"/>
          <w:rFonts w:ascii="Times New Roman" w:cs="Times New Roman" w:eastAsia="Times New Roman" w:hAnsi="Times New Roman"/>
        </w:rPr>
        <w:t xml:space="preserve">[20]	Y. Meidan et al., “N-BaIoT—Network-based detection of IoT botnet attacks using deep autoencoders,” IEEE Pervasive Comput., vol. 17, no. 3, pp. 12–22, 2018.</w:t>
      </w:r>
    </w:p>
    <w:p>
      <w:pPr>
        <w:tabs>
          <w:tab w:val="left" w:pos="360"/>
        </w:tabs>
        <w:spacing w:after="30"/>
        <w:ind w:left="360" w:hanging="360"/>
        <w:jc w:val="both"/>
      </w:pPr>
      <w:r>
        <w:rPr>
          <w:sz w:val="16"/>
          <w:szCs w:val="16"/>
          <w:rFonts w:ascii="Times New Roman" w:cs="Times New Roman" w:eastAsia="Times New Roman" w:hAnsi="Times New Roman"/>
        </w:rPr>
        <w:t xml:space="preserve">[21]	E. C. P. Neto et al., “CICIoT2023: A real-time dataset and benchmark for large-scale attacks in IoT environment,” Sensors, vol. 23, no. 13, p. 5941, 2023.</w:t>
      </w:r>
    </w:p>
    <w:p>
      <w:pPr>
        <w:tabs>
          <w:tab w:val="left" w:pos="360"/>
        </w:tabs>
        <w:spacing w:after="30"/>
        <w:ind w:left="360" w:hanging="360"/>
        <w:jc w:val="both"/>
      </w:pPr>
      <w:r>
        <w:rPr>
          <w:sz w:val="16"/>
          <w:szCs w:val="16"/>
          <w:rFonts w:ascii="Times New Roman" w:cs="Times New Roman" w:eastAsia="Times New Roman" w:hAnsi="Times New Roman"/>
        </w:rPr>
        <w:t xml:space="preserve">[22]	S. Garcia, A. Parmisano, and M. J. Erquiaga, “IoT-23: A labeled dataset with malicious and benign IoT network traffic,” Stratosphere Lab, Zenodo, 2020.</w:t>
      </w:r>
    </w:p>
    <w:p>
      <w:pPr>
        <w:tabs>
          <w:tab w:val="left" w:pos="360"/>
        </w:tabs>
        <w:spacing w:after="30"/>
        <w:ind w:left="360" w:hanging="360"/>
        <w:jc w:val="both"/>
      </w:pPr>
      <w:r>
        <w:rPr>
          <w:sz w:val="16"/>
          <w:szCs w:val="16"/>
          <w:rFonts w:ascii="Times New Roman" w:cs="Times New Roman" w:eastAsia="Times New Roman" w:hAnsi="Times New Roman"/>
        </w:rPr>
        <w:t xml:space="preserve">[23]	A. Vaswani et al., “Attention is all you need,” in Proc. NeurIPS, 2017, pp. 5998–6008.</w:t>
      </w:r>
    </w:p>
    <w:sectPr>
      <w:type w:val="continuous"/>
      <w:pgSz w:w="12240" w:h="15840" w:orient="portrait"/>
      <w:pgMar w:top="1080" w:right="900" w:bottom="1440" w:left="9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72b940f6d42b7bfa81bfd18af4bc48842423ee2.png"/><Relationship Id="rId7" Type="http://schemas.openxmlformats.org/officeDocument/2006/relationships/image" Target="media/efd1558cab2d43daef1c5bee6bca546817ae1d7e.png"/><Relationship Id="rId8" Type="http://schemas.openxmlformats.org/officeDocument/2006/relationships/image" Target="media/bb08841194c3d62cd75faee0ef1b980c0bfb1b88.png"/><Relationship Id="rId9" Type="http://schemas.openxmlformats.org/officeDocument/2006/relationships/image" Target="media/fb3f2e0f264ce7315ecd72c20b04a2de18efa959.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LiteCascade IEEE paper</dc:title>
  <dc:creator>LiteCascade authors</dc:creator>
  <cp:lastModifiedBy>Un-named</cp:lastModifiedBy>
  <cp:revision>1</cp:revision>
  <dcterms:created xsi:type="dcterms:W3CDTF">2026-10-21T14:13:04.512Z</dcterms:created>
  <dcterms:modified xsi:type="dcterms:W3CDTF">2026-10-21T14:13:04.514Z</dcterms:modified>
</cp:coreProperties>
</file>

<file path=docProps/custom.xml><?xml version="1.0" encoding="utf-8"?>
<Properties xmlns="http://schemas.openxmlformats.org/officeDocument/2006/custom-properties" xmlns:vt="http://schemas.openxmlformats.org/officeDocument/2006/docPropsVTypes"/>
</file>