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after="100"/>
      </w:pPr>
      <w:r>
        <w:rPr>
          <w:rFonts w:ascii="Calibri" w:hAnsi="Calibri"/>
          <w:b/>
          <w:i w:val="0"/>
          <w:color w:val="173A52"/>
          <w:sz w:val="50"/>
        </w:rPr>
        <w:t>Research Progress Report</w:t>
      </w:r>
    </w:p>
    <w:p>
      <w:pPr>
        <w:spacing w:after="360"/>
      </w:pPr>
      <w:r>
        <w:rPr>
          <w:rFonts w:ascii="Calibri" w:hAnsi="Calibri"/>
          <w:b w:val="0"/>
          <w:i w:val="0"/>
          <w:color w:val="2E5D7B"/>
          <w:sz w:val="30"/>
        </w:rPr>
        <w:t>Competitive Connectomes and Adaptive Flexibility</w:t>
      </w:r>
    </w:p>
    <w:p>
      <w:pPr>
        <w:spacing w:after="60"/>
      </w:pPr>
      <w:r>
        <w:rPr>
          <w:rFonts w:ascii="Calibri" w:hAnsi="Calibri"/>
          <w:b/>
          <w:i w:val="0"/>
          <w:color w:val="173A52"/>
          <w:sz w:val="22"/>
        </w:rPr>
        <w:t xml:space="preserve">Project stage: </w:t>
      </w:r>
      <w:r>
        <w:rPr>
          <w:rFonts w:ascii="Calibri" w:hAnsi="Calibri"/>
          <w:b w:val="0"/>
          <w:i w:val="0"/>
          <w:color w:val="1A1A1A"/>
          <w:sz w:val="22"/>
        </w:rPr>
        <w:t>EEG estimator comparison complete; predictive drift correction next</w:t>
      </w:r>
    </w:p>
    <w:p>
      <w:pPr>
        <w:spacing w:after="60"/>
      </w:pPr>
      <w:r>
        <w:rPr>
          <w:rFonts w:ascii="Calibri" w:hAnsi="Calibri"/>
          <w:b/>
          <w:i w:val="0"/>
          <w:color w:val="173A52"/>
          <w:sz w:val="22"/>
        </w:rPr>
        <w:t xml:space="preserve">Report status: </w:t>
      </w:r>
      <w:r>
        <w:rPr>
          <w:rFonts w:ascii="Calibri" w:hAnsi="Calibri"/>
          <w:b w:val="0"/>
          <w:i w:val="0"/>
          <w:color w:val="1A1A1A"/>
          <w:sz w:val="22"/>
        </w:rPr>
        <w:t>Living document — update after each milestone</w:t>
      </w:r>
    </w:p>
    <w:p>
      <w:pPr>
        <w:spacing w:after="60"/>
      </w:pPr>
      <w:r>
        <w:rPr>
          <w:rFonts w:ascii="Calibri" w:hAnsi="Calibri"/>
          <w:b/>
          <w:i w:val="0"/>
          <w:color w:val="173A52"/>
          <w:sz w:val="22"/>
        </w:rPr>
        <w:t xml:space="preserve">Data scope: </w:t>
      </w:r>
      <w:r>
        <w:rPr>
          <w:rFonts w:ascii="Calibri" w:hAnsi="Calibri"/>
          <w:b w:val="0"/>
          <w:i w:val="0"/>
          <w:color w:val="1A1A1A"/>
          <w:sz w:val="22"/>
        </w:rPr>
        <w:t>Released Luppi et al. data plus OpenNeuro ds004295 EEG</w:t>
      </w:r>
    </w:p>
    <w:p>
      <w:pPr>
        <w:spacing w:after="60"/>
      </w:pPr>
      <w:r>
        <w:rPr>
          <w:rFonts w:ascii="Calibri" w:hAnsi="Calibri"/>
          <w:b/>
          <w:i w:val="0"/>
          <w:color w:val="173A52"/>
          <w:sz w:val="22"/>
        </w:rPr>
        <w:t xml:space="preserve">Last updated: </w:t>
      </w:r>
      <w:r>
        <w:rPr>
          <w:rFonts w:ascii="Calibri" w:hAnsi="Calibri"/>
          <w:b w:val="0"/>
          <w:i w:val="0"/>
          <w:color w:val="1A1A1A"/>
          <w:sz w:val="22"/>
        </w:rPr>
        <w:t>11 August 2026</w:t>
      </w:r>
    </w:p>
    <w:p>
      <w:pPr>
        <w:spacing w:before="200" w:after="280"/>
        <w:pBdr>
          <w:bottom w:val="single" w:sz="12" w:color="2E5D7B"/>
        </w:pBdr>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E8EEF5"/>
          </w:tcPr>
          <w:p>
            <w:pPr>
              <w:spacing w:after="40"/>
            </w:pPr>
            <w:r>
              <w:rPr>
                <w:rFonts w:ascii="Calibri" w:hAnsi="Calibri"/>
                <w:b/>
                <w:i w:val="0"/>
                <w:color w:val="173A52"/>
                <w:sz w:val="22"/>
              </w:rPr>
              <w:t xml:space="preserve">Current evidence: </w:t>
            </w:r>
            <w:r>
              <w:rPr>
                <w:rFonts w:ascii="Calibri" w:hAnsi="Calibri"/>
                <w:b w:val="0"/>
                <w:i w:val="0"/>
                <w:color w:val="1A1A1A"/>
                <w:sz w:val="22"/>
              </w:rPr>
              <w:t>For the released single subject, cooperative and competitive effective interactions jointly contribute to reproducing empirical static functional connectivity. Their signs, strengths and anatomical assignments form an interdependent fitted organization.</w:t>
            </w:r>
          </w:p>
        </w:tc>
      </w:tr>
    </w:tbl>
    <w:p>
      <w:pPr>
        <w:spacing w:after="40"/>
      </w:pPr>
    </w:p>
    <w:p>
      <w:pPr>
        <w:pStyle w:val="Heading1"/>
        <w:keepNext/>
      </w:pPr>
      <w:r>
        <w:t>1. Executive summary</w:t>
      </w:r>
    </w:p>
    <w:p>
      <w:pPr>
        <w:keepLines/>
        <w:spacing w:before="0" w:after="120" w:line="264" w:lineRule="auto"/>
      </w:pPr>
      <w:r>
        <w:rPr>
          <w:rFonts w:ascii="Calibri" w:hAnsi="Calibri"/>
          <w:b w:val="0"/>
          <w:i w:val="0"/>
          <w:color w:val="1A1A1A"/>
          <w:sz w:val="22"/>
        </w:rPr>
        <w:t>This project began as a reproducibility study of the signed Hopf whole-brain model released with Luppi et al. It has now completed the core single-subject replication and a set of controlled perturbation experiments designed to determine why the fitted signed network succeeds. The work was completed using public data and an independent Python/C++ workflow without MATLAB.</w:t>
      </w:r>
    </w:p>
    <w:p>
      <w:pPr>
        <w:keepLines/>
        <w:spacing w:before="0" w:after="120" w:line="264" w:lineRule="auto"/>
      </w:pPr>
      <w:r>
        <w:rPr>
          <w:rFonts w:ascii="Calibri" w:hAnsi="Calibri"/>
          <w:b w:val="0"/>
          <w:i w:val="0"/>
          <w:color w:val="1A1A1A"/>
          <w:sz w:val="22"/>
        </w:rPr>
        <w:t>The signed model consistently reproduced empirical functional connectivity better than the cooperative-only model. Subsequent null experiments showed that this advantage was not explained solely by the presence of negative weights, the overall weight distribution or the anatomical connectivity mask. Cooperative strengths, competitive strengths and their anatomical sign assignment each contributed to the fitted network’s performance.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2F4F7"/>
          </w:tcPr>
          <w:p>
            <w:pPr>
              <w:spacing w:after="40"/>
            </w:pPr>
            <w:r>
              <w:rPr>
                <w:rFonts w:ascii="Calibri" w:hAnsi="Calibri"/>
                <w:b/>
                <w:i w:val="0"/>
                <w:color w:val="173A52"/>
                <w:sz w:val="22"/>
              </w:rPr>
              <w:t xml:space="preserve">Interpretive boundary: </w:t>
            </w:r>
            <w:r>
              <w:rPr>
                <w:rFonts w:ascii="Calibri" w:hAnsi="Calibri"/>
                <w:b w:val="0"/>
                <w:i w:val="0"/>
                <w:color w:val="1A1A1A"/>
                <w:sz w:val="22"/>
              </w:rPr>
              <w:t>These results concern a frozen model fitted to one released subject. Simulation seeds quantify stochastic robustness, not variation across people. The experiments support dependence within this fitted configuration, not uniqueness among all possible reoptimized solutions.</w:t>
            </w:r>
          </w:p>
        </w:tc>
      </w:tr>
    </w:tbl>
    <w:p>
      <w:pPr>
        <w:spacing w:after="40"/>
      </w:pPr>
    </w:p>
    <w:p>
      <w:r>
        <w:br w:type="page"/>
      </w:r>
    </w:p>
    <w:p>
      <w:pPr>
        <w:pStyle w:val="Heading1"/>
        <w:keepNext/>
      </w:pPr>
      <w:r>
        <w:t>2. Scientific framing</w:t>
      </w:r>
    </w:p>
    <w:p>
      <w:pPr>
        <w:pStyle w:val="Heading2"/>
        <w:keepNext/>
      </w:pPr>
      <w:r>
        <w:t>2.1 Research question</w:t>
      </w:r>
    </w:p>
    <w:p>
      <w:pPr>
        <w:keepLines/>
        <w:spacing w:before="0" w:after="120" w:line="264" w:lineRule="auto"/>
      </w:pPr>
      <w:r>
        <w:rPr>
          <w:rFonts w:ascii="Calibri" w:hAnsi="Calibri"/>
          <w:b w:val="0"/>
          <w:i w:val="0"/>
          <w:color w:val="1A1A1A"/>
          <w:sz w:val="22"/>
        </w:rPr>
        <w:t>How do biologically inferred cooperative and competitive effective interactions jointly organize brain dynamics, and how might their balance support stable exploitation and adaptive exploration?</w:t>
      </w:r>
    </w:p>
    <w:p>
      <w:pPr>
        <w:pStyle w:val="Heading2"/>
        <w:keepNext/>
      </w:pPr>
      <w:r>
        <w:t>2.2 Working hypothesis</w:t>
      </w:r>
    </w:p>
    <w:p>
      <w:pPr>
        <w:keepLines/>
        <w:spacing w:before="0" w:after="120" w:line="264" w:lineRule="auto"/>
      </w:pPr>
      <w:r>
        <w:rPr>
          <w:rFonts w:ascii="Calibri" w:hAnsi="Calibri"/>
          <w:b w:val="0"/>
          <w:i w:val="0"/>
          <w:color w:val="1A1A1A"/>
          <w:sz w:val="22"/>
        </w:rPr>
        <w:t>Empirical brain dynamics emerge from the complementary spatial organization of cooperative and competitive effective interactions. Disrupting either component should impair model fit, while their relative balance may regulate the trade-off between stable maintenance and adaptive switching.</w:t>
      </w:r>
    </w:p>
    <w:p>
      <w:pPr>
        <w:pStyle w:val="Heading2"/>
        <w:keepNext/>
      </w:pPr>
      <w:r>
        <w:t>2.3 Terminology</w:t>
      </w:r>
    </w:p>
    <w:tbl>
      <w:tblPr>
        <w:tblStyle w:val="TableGrid"/>
        <w:tblW w:type="dxa" w:w="9360"/>
        <w:tblLayout w:type="fixed"/>
        <w:tblLook w:firstColumn="1" w:firstRow="1" w:lastColumn="0" w:lastRow="0" w:noHBand="0" w:noVBand="1" w:val="04A0"/>
        <w:jc w:val="left"/>
        <w:tblInd w:w="120" w:type="dxa"/>
      </w:tblPr>
      <w:tblGrid>
        <w:gridCol w:w="2300"/>
        <w:gridCol w:w="7060"/>
      </w:tblGrid>
      <w:tr>
        <w:tc>
          <w:tcPr>
            <w:tcW w:type="dxa" w:w="2300"/>
            <w:vAlign w:val="center"/>
            <w:tcMar>
              <w:top w:w="80" w:type="dxa"/>
              <w:start w:w="120" w:type="dxa"/>
              <w:bottom w:w="80" w:type="dxa"/>
              <w:end w:w="120" w:type="dxa"/>
            </w:tcMar>
            <w:shd w:fill="E8EEF5"/>
          </w:tcPr>
          <w:p>
            <w:pPr>
              <w:jc w:val="center"/>
            </w:pPr>
            <w:r>
              <w:rPr>
                <w:rFonts w:ascii="Calibri" w:hAnsi="Calibri"/>
                <w:b/>
                <w:i w:val="0"/>
                <w:color w:val="173A52"/>
                <w:sz w:val="20"/>
              </w:rPr>
              <w:t>Term</w:t>
            </w:r>
          </w:p>
        </w:tc>
        <w:tc>
          <w:tcPr>
            <w:tcW w:type="dxa" w:w="7060"/>
            <w:vAlign w:val="center"/>
            <w:tcMar>
              <w:top w:w="80" w:type="dxa"/>
              <w:start w:w="120" w:type="dxa"/>
              <w:bottom w:w="80" w:type="dxa"/>
              <w:end w:w="120" w:type="dxa"/>
            </w:tcMar>
            <w:shd w:fill="E8EEF5"/>
          </w:tcPr>
          <w:p>
            <w:pPr>
              <w:jc w:val="center"/>
            </w:pPr>
            <w:r>
              <w:rPr>
                <w:rFonts w:ascii="Calibri" w:hAnsi="Calibri"/>
                <w:b/>
                <w:i w:val="0"/>
                <w:color w:val="173A52"/>
                <w:sz w:val="20"/>
              </w:rPr>
              <w:t>Meaning in this project</w:t>
            </w:r>
          </w:p>
        </w:tc>
      </w:tr>
      <w:tr>
        <w:tc>
          <w:tcPr>
            <w:tcW w:type="dxa" w:w="2300"/>
            <w:vAlign w:val="center"/>
            <w:tcMar>
              <w:top w:w="80" w:type="dxa"/>
              <w:start w:w="120" w:type="dxa"/>
              <w:bottom w:w="80" w:type="dxa"/>
              <w:end w:w="120" w:type="dxa"/>
            </w:tcMar>
          </w:tcPr>
          <w:p>
            <w:pPr>
              <w:jc w:val="left"/>
            </w:pPr>
            <w:r>
              <w:rPr>
                <w:rFonts w:ascii="Calibri" w:hAnsi="Calibri"/>
                <w:b w:val="0"/>
                <w:i w:val="0"/>
                <w:color w:val="1A1A1A"/>
                <w:sz w:val="20"/>
              </w:rPr>
              <w:t>Structural connectivity</w:t>
            </w:r>
          </w:p>
        </w:tc>
        <w:tc>
          <w:tcPr>
            <w:tcW w:type="dxa" w:w="7060"/>
            <w:vAlign w:val="center"/>
            <w:tcMar>
              <w:top w:w="80" w:type="dxa"/>
              <w:start w:w="120" w:type="dxa"/>
              <w:bottom w:w="80" w:type="dxa"/>
              <w:end w:w="120" w:type="dxa"/>
            </w:tcMar>
          </w:tcPr>
          <w:p>
            <w:pPr>
              <w:jc w:val="center"/>
            </w:pPr>
            <w:r>
              <w:rPr>
                <w:rFonts w:ascii="Calibri" w:hAnsi="Calibri"/>
                <w:b w:val="0"/>
                <w:i w:val="0"/>
                <w:color w:val="1A1A1A"/>
                <w:sz w:val="20"/>
              </w:rPr>
              <w:t>The anatomical connection mask and strengths supplied to the model.</w:t>
            </w:r>
          </w:p>
        </w:tc>
      </w:tr>
      <w:tr>
        <w:tc>
          <w:tcPr>
            <w:tcW w:type="dxa" w:w="2300"/>
            <w:vAlign w:val="center"/>
            <w:tcMar>
              <w:top w:w="80" w:type="dxa"/>
              <w:start w:w="120" w:type="dxa"/>
              <w:bottom w:w="80" w:type="dxa"/>
              <w:end w:w="120" w:type="dxa"/>
            </w:tcMar>
          </w:tcPr>
          <w:p>
            <w:pPr>
              <w:jc w:val="left"/>
            </w:pPr>
            <w:r>
              <w:rPr>
                <w:rFonts w:ascii="Calibri" w:hAnsi="Calibri"/>
                <w:b w:val="0"/>
                <w:i w:val="0"/>
                <w:color w:val="1A1A1A"/>
                <w:sz w:val="20"/>
              </w:rPr>
              <w:t>Functional connectivity</w:t>
            </w:r>
          </w:p>
        </w:tc>
        <w:tc>
          <w:tcPr>
            <w:tcW w:type="dxa" w:w="7060"/>
            <w:vAlign w:val="center"/>
            <w:tcMar>
              <w:top w:w="80" w:type="dxa"/>
              <w:start w:w="120" w:type="dxa"/>
              <w:bottom w:w="80" w:type="dxa"/>
              <w:end w:w="120" w:type="dxa"/>
            </w:tcMar>
          </w:tcPr>
          <w:p>
            <w:pPr>
              <w:jc w:val="center"/>
            </w:pPr>
            <w:r>
              <w:rPr>
                <w:rFonts w:ascii="Calibri" w:hAnsi="Calibri"/>
                <w:b w:val="0"/>
                <w:i w:val="0"/>
                <w:color w:val="1A1A1A"/>
                <w:sz w:val="20"/>
              </w:rPr>
              <w:t>Correlations between regional BOLD time series.</w:t>
            </w:r>
          </w:p>
        </w:tc>
      </w:tr>
      <w:tr>
        <w:tc>
          <w:tcPr>
            <w:tcW w:type="dxa" w:w="2300"/>
            <w:vAlign w:val="center"/>
            <w:tcMar>
              <w:top w:w="80" w:type="dxa"/>
              <w:start w:w="120" w:type="dxa"/>
              <w:bottom w:w="80" w:type="dxa"/>
              <w:end w:w="120" w:type="dxa"/>
            </w:tcMar>
          </w:tcPr>
          <w:p>
            <w:pPr>
              <w:jc w:val="left"/>
            </w:pPr>
            <w:r>
              <w:rPr>
                <w:rFonts w:ascii="Calibri" w:hAnsi="Calibri"/>
                <w:b w:val="0"/>
                <w:i w:val="0"/>
                <w:color w:val="1A1A1A"/>
                <w:sz w:val="20"/>
              </w:rPr>
              <w:t>Effective connectivity</w:t>
            </w:r>
          </w:p>
        </w:tc>
        <w:tc>
          <w:tcPr>
            <w:tcW w:type="dxa" w:w="7060"/>
            <w:vAlign w:val="center"/>
            <w:tcMar>
              <w:top w:w="80" w:type="dxa"/>
              <w:start w:w="120" w:type="dxa"/>
              <w:bottom w:w="80" w:type="dxa"/>
              <w:end w:w="120" w:type="dxa"/>
            </w:tcMar>
          </w:tcPr>
          <w:p>
            <w:pPr>
              <w:jc w:val="center"/>
            </w:pPr>
            <w:r>
              <w:rPr>
                <w:rFonts w:ascii="Calibri" w:hAnsi="Calibri"/>
                <w:b w:val="0"/>
                <w:i w:val="0"/>
                <w:color w:val="1A1A1A"/>
                <w:sz w:val="20"/>
              </w:rPr>
              <w:t>Model-inferred directional influences used to reproduce empirical dynamics.</w:t>
            </w:r>
          </w:p>
        </w:tc>
      </w:tr>
      <w:tr>
        <w:tc>
          <w:tcPr>
            <w:tcW w:type="dxa" w:w="2300"/>
            <w:vAlign w:val="center"/>
            <w:tcMar>
              <w:top w:w="80" w:type="dxa"/>
              <w:start w:w="120" w:type="dxa"/>
              <w:bottom w:w="80" w:type="dxa"/>
              <w:end w:w="120" w:type="dxa"/>
            </w:tcMar>
          </w:tcPr>
          <w:p>
            <w:pPr>
              <w:jc w:val="left"/>
            </w:pPr>
            <w:r>
              <w:rPr>
                <w:rFonts w:ascii="Calibri" w:hAnsi="Calibri"/>
                <w:b w:val="0"/>
                <w:i w:val="0"/>
                <w:color w:val="1A1A1A"/>
                <w:sz w:val="20"/>
              </w:rPr>
              <w:t>Cooperative interaction</w:t>
            </w:r>
          </w:p>
        </w:tc>
        <w:tc>
          <w:tcPr>
            <w:tcW w:type="dxa" w:w="7060"/>
            <w:vAlign w:val="center"/>
            <w:tcMar>
              <w:top w:w="80" w:type="dxa"/>
              <w:start w:w="120" w:type="dxa"/>
              <w:bottom w:w="80" w:type="dxa"/>
              <w:end w:w="120" w:type="dxa"/>
            </w:tcMar>
          </w:tcPr>
          <w:p>
            <w:pPr>
              <w:jc w:val="center"/>
            </w:pPr>
            <w:r>
              <w:rPr>
                <w:rFonts w:ascii="Calibri" w:hAnsi="Calibri"/>
                <w:b w:val="0"/>
                <w:i w:val="0"/>
                <w:color w:val="1A1A1A"/>
                <w:sz w:val="20"/>
              </w:rPr>
              <w:t>A positive fitted effective weight.</w:t>
            </w:r>
          </w:p>
        </w:tc>
      </w:tr>
      <w:tr>
        <w:tc>
          <w:tcPr>
            <w:tcW w:type="dxa" w:w="2300"/>
            <w:vAlign w:val="center"/>
            <w:tcMar>
              <w:top w:w="80" w:type="dxa"/>
              <w:start w:w="120" w:type="dxa"/>
              <w:bottom w:w="80" w:type="dxa"/>
              <w:end w:w="120" w:type="dxa"/>
            </w:tcMar>
          </w:tcPr>
          <w:p>
            <w:pPr>
              <w:jc w:val="left"/>
            </w:pPr>
            <w:r>
              <w:rPr>
                <w:rFonts w:ascii="Calibri" w:hAnsi="Calibri"/>
                <w:b w:val="0"/>
                <w:i w:val="0"/>
                <w:color w:val="1A1A1A"/>
                <w:sz w:val="20"/>
              </w:rPr>
              <w:t>Competitive interaction</w:t>
            </w:r>
          </w:p>
        </w:tc>
        <w:tc>
          <w:tcPr>
            <w:tcW w:type="dxa" w:w="7060"/>
            <w:vAlign w:val="center"/>
            <w:tcMar>
              <w:top w:w="80" w:type="dxa"/>
              <w:start w:w="120" w:type="dxa"/>
              <w:bottom w:w="80" w:type="dxa"/>
              <w:end w:w="120" w:type="dxa"/>
            </w:tcMar>
          </w:tcPr>
          <w:p>
            <w:pPr>
              <w:jc w:val="center"/>
            </w:pPr>
            <w:r>
              <w:rPr>
                <w:rFonts w:ascii="Calibri" w:hAnsi="Calibri"/>
                <w:b w:val="0"/>
                <w:i w:val="0"/>
                <w:color w:val="1A1A1A"/>
                <w:sz w:val="20"/>
              </w:rPr>
              <w:t>A negative fitted effective weight; not necessarily a direct long-range inhibitory synapse.</w:t>
            </w:r>
          </w:p>
        </w:tc>
      </w:tr>
    </w:tbl>
    <w:p>
      <w:pPr>
        <w:spacing w:after="60"/>
      </w:pPr>
    </w:p>
    <w:p>
      <w:r>
        <w:br w:type="page"/>
      </w:r>
    </w:p>
    <w:p>
      <w:pPr>
        <w:pStyle w:val="Heading1"/>
        <w:keepNext/>
      </w:pPr>
      <w:r>
        <w:t>3. Phase 1 — Reproducible computational foundation</w:t>
      </w:r>
    </w:p>
    <w:p>
      <w:pPr>
        <w:keepLines/>
        <w:spacing w:before="0" w:after="120" w:line="264" w:lineRule="auto"/>
      </w:pPr>
      <w:r>
        <w:rPr>
          <w:rFonts w:ascii="Calibri" w:hAnsi="Calibri"/>
          <w:b/>
          <w:i w:val="0"/>
          <w:color w:val="1A1A1A"/>
          <w:sz w:val="22"/>
        </w:rPr>
        <w:t>Status:</w:t>
      </w:r>
      <w:r>
        <w:rPr>
          <w:rFonts w:ascii="Calibri" w:hAnsi="Calibri"/>
          <w:b w:val="0"/>
          <w:i w:val="0"/>
          <w:color w:val="1A1A1A"/>
          <w:sz w:val="22"/>
        </w:rPr>
        <w:t xml:space="preserve"> complete.</w:t>
      </w:r>
    </w:p>
    <w:p>
      <w:pPr>
        <w:pStyle w:val="ListBullet"/>
        <w:spacing w:after="100" w:line="280" w:lineRule="auto"/>
      </w:pPr>
      <w:r>
        <w:rPr>
          <w:rFonts w:ascii="Calibri" w:hAnsi="Calibri"/>
          <w:b w:val="0"/>
          <w:i w:val="0"/>
          <w:color w:val="1A1A1A"/>
          <w:sz w:val="22"/>
        </w:rPr>
        <w:t>Created and verified an isolated Python 3.12.9 environment.</w:t>
      </w:r>
    </w:p>
    <w:p>
      <w:pPr>
        <w:pStyle w:val="ListBullet"/>
        <w:spacing w:after="100" w:line="280" w:lineRule="auto"/>
      </w:pPr>
      <w:r>
        <w:rPr>
          <w:rFonts w:ascii="Calibri" w:hAnsi="Calibri"/>
          <w:b w:val="0"/>
          <w:i w:val="0"/>
          <w:color w:val="1A1A1A"/>
          <w:sz w:val="22"/>
        </w:rPr>
        <w:t>Cloned the authors’ repository and recorded commit da592aab6784db5c6c59f29f6bcb2b3743f1afd7.</w:t>
      </w:r>
    </w:p>
    <w:p>
      <w:pPr>
        <w:pStyle w:val="ListBullet"/>
        <w:spacing w:after="100" w:line="280" w:lineRule="auto"/>
      </w:pPr>
      <w:r>
        <w:rPr>
          <w:rFonts w:ascii="Calibri" w:hAnsi="Calibri"/>
          <w:b w:val="0"/>
          <w:i w:val="0"/>
          <w:color w:val="1A1A1A"/>
          <w:sz w:val="22"/>
        </w:rPr>
        <w:t>Built and smoke-tested the C++ Hopf simulator and optimizer without MATLAB.</w:t>
      </w:r>
    </w:p>
    <w:p>
      <w:pPr>
        <w:pStyle w:val="ListBullet"/>
        <w:spacing w:after="100" w:line="280" w:lineRule="auto"/>
      </w:pPr>
      <w:r>
        <w:rPr>
          <w:rFonts w:ascii="Calibri" w:hAnsi="Calibri"/>
          <w:b w:val="0"/>
          <w:i w:val="0"/>
          <w:color w:val="1A1A1A"/>
          <w:sz w:val="22"/>
        </w:rPr>
        <w:t>Loaded the released 100-region structural-connectivity matrix and 1,189-timepoint BOLD data.</w:t>
      </w:r>
    </w:p>
    <w:p>
      <w:pPr>
        <w:pStyle w:val="ListBullet"/>
        <w:spacing w:after="100" w:line="280" w:lineRule="auto"/>
      </w:pPr>
      <w:r>
        <w:rPr>
          <w:rFonts w:ascii="Calibri" w:hAnsi="Calibri"/>
          <w:b w:val="0"/>
          <w:i w:val="0"/>
          <w:color w:val="1A1A1A"/>
          <w:sz w:val="22"/>
        </w:rPr>
        <w:t>Translated regional-frequency extraction from MATLAB to Python and matched the released reference exactly.</w:t>
      </w:r>
    </w:p>
    <w:p>
      <w:pPr>
        <w:pStyle w:val="ListBullet"/>
        <w:spacing w:after="100" w:line="280" w:lineRule="auto"/>
      </w:pPr>
      <w:r>
        <w:rPr>
          <w:rFonts w:ascii="Calibri" w:hAnsi="Calibri"/>
          <w:b w:val="0"/>
          <w:i w:val="0"/>
          <w:color w:val="1A1A1A"/>
          <w:sz w:val="22"/>
        </w:rPr>
        <w:t>Added optional random-seed control while preserving the upstream default of seed 42.</w:t>
      </w:r>
    </w:p>
    <w:p>
      <w:pPr>
        <w:pStyle w:val="ListBullet"/>
        <w:spacing w:after="100" w:line="280" w:lineRule="auto"/>
      </w:pPr>
      <w:r>
        <w:rPr>
          <w:rFonts w:ascii="Calibri" w:hAnsi="Calibri"/>
          <w:b w:val="0"/>
          <w:i w:val="0"/>
          <w:color w:val="1A1A1A"/>
          <w:sz w:val="22"/>
        </w:rPr>
        <w:t>Established automated tests for loading, frequency extraction, null-model preservation and stochastic simulation.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2F4F7"/>
          </w:tcPr>
          <w:p>
            <w:pPr>
              <w:spacing w:after="40"/>
            </w:pPr>
            <w:r>
              <w:rPr>
                <w:rFonts w:ascii="Calibri" w:hAnsi="Calibri"/>
                <w:b/>
                <w:i w:val="0"/>
                <w:color w:val="173A52"/>
                <w:sz w:val="22"/>
              </w:rPr>
              <w:t xml:space="preserve">Reproducibility note: </w:t>
            </w:r>
            <w:r>
              <w:rPr>
                <w:rFonts w:ascii="Calibri" w:hAnsi="Calibri"/>
                <w:b w:val="0"/>
                <w:i w:val="0"/>
                <w:color w:val="1A1A1A"/>
                <w:sz w:val="22"/>
              </w:rPr>
              <w:t>All upstream modifications are documented separately. The original default behaviour remains available, and the seed extension is used only for repeated stochastic validation.</w:t>
            </w:r>
          </w:p>
        </w:tc>
      </w:tr>
    </w:tbl>
    <w:p>
      <w:pPr>
        <w:spacing w:after="40"/>
      </w:pPr>
    </w:p>
    <w:p>
      <w:pPr>
        <w:pStyle w:val="Heading1"/>
        <w:keepNext/>
      </w:pPr>
      <w:r>
        <w:t>4. Phase 2 — Core replication</w:t>
      </w:r>
    </w:p>
    <w:p>
      <w:pPr>
        <w:pStyle w:val="Heading2"/>
        <w:keepNext/>
      </w:pPr>
      <w:r>
        <w:t>4.1 Data and fitted models</w:t>
      </w:r>
    </w:p>
    <w:p>
      <w:pPr>
        <w:keepLines/>
        <w:spacing w:before="0" w:after="120" w:line="264" w:lineRule="auto"/>
      </w:pPr>
      <w:r>
        <w:rPr>
          <w:rFonts w:ascii="Calibri" w:hAnsi="Calibri"/>
          <w:b w:val="0"/>
          <w:i w:val="0"/>
          <w:color w:val="1A1A1A"/>
          <w:sz w:val="22"/>
        </w:rPr>
        <w:t>The released single-subject BOLD data were used to derive 100 characteristic regional oscillation frequencies. Two Hopf models were optimized with otherwise matched settings: a cooperative-only model constrained to non-negative generative weights and a signed model permitted to infer both positive and negative effective weights.</w:t>
      </w:r>
    </w:p>
    <w:tbl>
      <w:tblPr>
        <w:tblStyle w:val="TableGrid"/>
        <w:tblW w:type="dxa" w:w="9360"/>
        <w:tblLayout w:type="fixed"/>
        <w:tblLook w:firstColumn="1" w:firstRow="1" w:lastColumn="0" w:lastRow="0" w:noHBand="0" w:noVBand="1" w:val="04A0"/>
        <w:jc w:val="left"/>
        <w:tblInd w:w="120" w:type="dxa"/>
      </w:tblPr>
      <w:tblGrid>
        <w:gridCol w:w="4200"/>
        <w:gridCol w:w="2580"/>
        <w:gridCol w:w="2580"/>
      </w:tblGrid>
      <w:tr>
        <w:tc>
          <w:tcPr>
            <w:tcW w:type="dxa" w:w="4200"/>
            <w:vAlign w:val="center"/>
            <w:tcMar>
              <w:top w:w="80" w:type="dxa"/>
              <w:start w:w="120" w:type="dxa"/>
              <w:bottom w:w="80" w:type="dxa"/>
              <w:end w:w="120" w:type="dxa"/>
            </w:tcMar>
            <w:shd w:fill="E8EEF5"/>
          </w:tcPr>
          <w:p>
            <w:pPr>
              <w:jc w:val="center"/>
            </w:pPr>
            <w:r>
              <w:rPr>
                <w:rFonts w:ascii="Calibri" w:hAnsi="Calibri"/>
                <w:b/>
                <w:i w:val="0"/>
                <w:color w:val="173A52"/>
                <w:sz w:val="20"/>
              </w:rPr>
              <w:t>Property</w:t>
            </w:r>
          </w:p>
        </w:tc>
        <w:tc>
          <w:tcPr>
            <w:tcW w:type="dxa" w:w="2580"/>
            <w:vAlign w:val="center"/>
            <w:tcMar>
              <w:top w:w="80" w:type="dxa"/>
              <w:start w:w="120" w:type="dxa"/>
              <w:bottom w:w="80" w:type="dxa"/>
              <w:end w:w="120" w:type="dxa"/>
            </w:tcMar>
            <w:shd w:fill="E8EEF5"/>
          </w:tcPr>
          <w:p>
            <w:pPr>
              <w:jc w:val="center"/>
            </w:pPr>
            <w:r>
              <w:rPr>
                <w:rFonts w:ascii="Calibri" w:hAnsi="Calibri"/>
                <w:b/>
                <w:i w:val="0"/>
                <w:color w:val="173A52"/>
                <w:sz w:val="20"/>
              </w:rPr>
              <w:t>Cooperative-only</w:t>
            </w:r>
          </w:p>
        </w:tc>
        <w:tc>
          <w:tcPr>
            <w:tcW w:type="dxa" w:w="2580"/>
            <w:vAlign w:val="center"/>
            <w:tcMar>
              <w:top w:w="80" w:type="dxa"/>
              <w:start w:w="120" w:type="dxa"/>
              <w:bottom w:w="80" w:type="dxa"/>
              <w:end w:w="120" w:type="dxa"/>
            </w:tcMar>
            <w:shd w:fill="E8EEF5"/>
          </w:tcPr>
          <w:p>
            <w:pPr>
              <w:jc w:val="center"/>
            </w:pPr>
            <w:r>
              <w:rPr>
                <w:rFonts w:ascii="Calibri" w:hAnsi="Calibri"/>
                <w:b/>
                <w:i w:val="0"/>
                <w:color w:val="173A52"/>
                <w:sz w:val="20"/>
              </w:rPr>
              <w:t>Signed</w:t>
            </w:r>
          </w:p>
        </w:tc>
      </w:tr>
      <w:tr>
        <w:tc>
          <w:tcPr>
            <w:tcW w:type="dxa" w:w="4200"/>
            <w:vAlign w:val="center"/>
            <w:tcMar>
              <w:top w:w="80" w:type="dxa"/>
              <w:start w:w="120" w:type="dxa"/>
              <w:bottom w:w="80" w:type="dxa"/>
              <w:end w:w="120" w:type="dxa"/>
            </w:tcMar>
          </w:tcPr>
          <w:p>
            <w:pPr>
              <w:jc w:val="left"/>
            </w:pPr>
            <w:r>
              <w:rPr>
                <w:rFonts w:ascii="Calibri" w:hAnsi="Calibri"/>
                <w:b w:val="0"/>
                <w:i w:val="0"/>
                <w:color w:val="1A1A1A"/>
                <w:sz w:val="20"/>
              </w:rPr>
              <w:t>Positive directed weights</w:t>
            </w:r>
          </w:p>
        </w:tc>
        <w:tc>
          <w:tcPr>
            <w:tcW w:type="dxa" w:w="2580"/>
            <w:vAlign w:val="center"/>
            <w:tcMar>
              <w:top w:w="80" w:type="dxa"/>
              <w:start w:w="120" w:type="dxa"/>
              <w:bottom w:w="80" w:type="dxa"/>
              <w:end w:w="120" w:type="dxa"/>
            </w:tcMar>
          </w:tcPr>
          <w:p>
            <w:pPr>
              <w:jc w:val="center"/>
            </w:pPr>
            <w:r>
              <w:rPr>
                <w:rFonts w:ascii="Calibri" w:hAnsi="Calibri"/>
                <w:b w:val="0"/>
                <w:i w:val="0"/>
                <w:color w:val="1A1A1A"/>
                <w:sz w:val="20"/>
              </w:rPr>
              <w:t>1,464</w:t>
            </w:r>
          </w:p>
        </w:tc>
        <w:tc>
          <w:tcPr>
            <w:tcW w:type="dxa" w:w="2580"/>
            <w:vAlign w:val="center"/>
            <w:tcMar>
              <w:top w:w="80" w:type="dxa"/>
              <w:start w:w="120" w:type="dxa"/>
              <w:bottom w:w="80" w:type="dxa"/>
              <w:end w:w="120" w:type="dxa"/>
            </w:tcMar>
          </w:tcPr>
          <w:p>
            <w:pPr>
              <w:jc w:val="center"/>
            </w:pPr>
            <w:r>
              <w:rPr>
                <w:rFonts w:ascii="Calibri" w:hAnsi="Calibri"/>
                <w:b w:val="0"/>
                <w:i w:val="0"/>
                <w:color w:val="1A1A1A"/>
                <w:sz w:val="20"/>
              </w:rPr>
              <w:t>1,493</w:t>
            </w:r>
          </w:p>
        </w:tc>
      </w:tr>
      <w:tr>
        <w:tc>
          <w:tcPr>
            <w:tcW w:type="dxa" w:w="4200"/>
            <w:vAlign w:val="center"/>
            <w:tcMar>
              <w:top w:w="80" w:type="dxa"/>
              <w:start w:w="120" w:type="dxa"/>
              <w:bottom w:w="80" w:type="dxa"/>
              <w:end w:w="120" w:type="dxa"/>
            </w:tcMar>
          </w:tcPr>
          <w:p>
            <w:pPr>
              <w:jc w:val="left"/>
            </w:pPr>
            <w:r>
              <w:rPr>
                <w:rFonts w:ascii="Calibri" w:hAnsi="Calibri"/>
                <w:b w:val="0"/>
                <w:i w:val="0"/>
                <w:color w:val="1A1A1A"/>
                <w:sz w:val="20"/>
              </w:rPr>
              <w:t>Negative directed weights</w:t>
            </w:r>
          </w:p>
        </w:tc>
        <w:tc>
          <w:tcPr>
            <w:tcW w:type="dxa" w:w="2580"/>
            <w:vAlign w:val="center"/>
            <w:tcMar>
              <w:top w:w="80" w:type="dxa"/>
              <w:start w:w="120" w:type="dxa"/>
              <w:bottom w:w="80" w:type="dxa"/>
              <w:end w:w="120" w:type="dxa"/>
            </w:tcMar>
          </w:tcPr>
          <w:p>
            <w:pPr>
              <w:jc w:val="center"/>
            </w:pPr>
            <w:r>
              <w:rPr>
                <w:rFonts w:ascii="Calibri" w:hAnsi="Calibri"/>
                <w:b w:val="0"/>
                <w:i w:val="0"/>
                <w:color w:val="1A1A1A"/>
                <w:sz w:val="20"/>
              </w:rPr>
              <w:t>0</w:t>
            </w:r>
          </w:p>
        </w:tc>
        <w:tc>
          <w:tcPr>
            <w:tcW w:type="dxa" w:w="2580"/>
            <w:vAlign w:val="center"/>
            <w:tcMar>
              <w:top w:w="80" w:type="dxa"/>
              <w:start w:w="120" w:type="dxa"/>
              <w:bottom w:w="80" w:type="dxa"/>
              <w:end w:w="120" w:type="dxa"/>
            </w:tcMar>
          </w:tcPr>
          <w:p>
            <w:pPr>
              <w:jc w:val="center"/>
            </w:pPr>
            <w:r>
              <w:rPr>
                <w:rFonts w:ascii="Calibri" w:hAnsi="Calibri"/>
                <w:b w:val="0"/>
                <w:i w:val="0"/>
                <w:color w:val="1A1A1A"/>
                <w:sz w:val="20"/>
              </w:rPr>
              <w:t>767</w:t>
            </w:r>
          </w:p>
        </w:tc>
      </w:tr>
      <w:tr>
        <w:tc>
          <w:tcPr>
            <w:tcW w:type="dxa" w:w="4200"/>
            <w:vAlign w:val="center"/>
            <w:tcMar>
              <w:top w:w="80" w:type="dxa"/>
              <w:start w:w="120" w:type="dxa"/>
              <w:bottom w:w="80" w:type="dxa"/>
              <w:end w:w="120" w:type="dxa"/>
            </w:tcMar>
          </w:tcPr>
          <w:p>
            <w:pPr>
              <w:jc w:val="left"/>
            </w:pPr>
            <w:r>
              <w:rPr>
                <w:rFonts w:ascii="Calibri" w:hAnsi="Calibri"/>
                <w:b w:val="0"/>
                <w:i w:val="0"/>
                <w:color w:val="1A1A1A"/>
                <w:sz w:val="20"/>
              </w:rPr>
              <w:t>Total non-zero directed weights</w:t>
            </w:r>
          </w:p>
        </w:tc>
        <w:tc>
          <w:tcPr>
            <w:tcW w:type="dxa" w:w="2580"/>
            <w:vAlign w:val="center"/>
            <w:tcMar>
              <w:top w:w="80" w:type="dxa"/>
              <w:start w:w="120" w:type="dxa"/>
              <w:bottom w:w="80" w:type="dxa"/>
              <w:end w:w="120" w:type="dxa"/>
            </w:tcMar>
          </w:tcPr>
          <w:p>
            <w:pPr>
              <w:jc w:val="center"/>
            </w:pPr>
            <w:r>
              <w:rPr>
                <w:rFonts w:ascii="Calibri" w:hAnsi="Calibri"/>
                <w:b w:val="0"/>
                <w:i w:val="0"/>
                <w:color w:val="1A1A1A"/>
                <w:sz w:val="20"/>
              </w:rPr>
              <w:t>1,464</w:t>
            </w:r>
          </w:p>
        </w:tc>
        <w:tc>
          <w:tcPr>
            <w:tcW w:type="dxa" w:w="2580"/>
            <w:vAlign w:val="center"/>
            <w:tcMar>
              <w:top w:w="80" w:type="dxa"/>
              <w:start w:w="120" w:type="dxa"/>
              <w:bottom w:w="80" w:type="dxa"/>
              <w:end w:w="120" w:type="dxa"/>
            </w:tcMar>
          </w:tcPr>
          <w:p>
            <w:pPr>
              <w:jc w:val="center"/>
            </w:pPr>
            <w:r>
              <w:rPr>
                <w:rFonts w:ascii="Calibri" w:hAnsi="Calibri"/>
                <w:b w:val="0"/>
                <w:i w:val="0"/>
                <w:color w:val="1A1A1A"/>
                <w:sz w:val="20"/>
              </w:rPr>
              <w:t>2,260</w:t>
            </w:r>
          </w:p>
        </w:tc>
      </w:tr>
      <w:tr>
        <w:tc>
          <w:tcPr>
            <w:tcW w:type="dxa" w:w="4200"/>
            <w:vAlign w:val="center"/>
            <w:tcMar>
              <w:top w:w="80" w:type="dxa"/>
              <w:start w:w="120" w:type="dxa"/>
              <w:bottom w:w="80" w:type="dxa"/>
              <w:end w:w="120" w:type="dxa"/>
            </w:tcMar>
          </w:tcPr>
          <w:p>
            <w:pPr>
              <w:jc w:val="left"/>
            </w:pPr>
            <w:r>
              <w:rPr>
                <w:rFonts w:ascii="Calibri" w:hAnsi="Calibri"/>
                <w:b w:val="0"/>
                <w:i w:val="0"/>
                <w:color w:val="1A1A1A"/>
                <w:sz w:val="20"/>
              </w:rPr>
              <w:t>Negative fraction of non-zero weights</w:t>
            </w:r>
          </w:p>
        </w:tc>
        <w:tc>
          <w:tcPr>
            <w:tcW w:type="dxa" w:w="2580"/>
            <w:vAlign w:val="center"/>
            <w:tcMar>
              <w:top w:w="80" w:type="dxa"/>
              <w:start w:w="120" w:type="dxa"/>
              <w:bottom w:w="80" w:type="dxa"/>
              <w:end w:w="120" w:type="dxa"/>
            </w:tcMar>
          </w:tcPr>
          <w:p>
            <w:pPr>
              <w:jc w:val="center"/>
            </w:pPr>
            <w:r>
              <w:rPr>
                <w:rFonts w:ascii="Calibri" w:hAnsi="Calibri"/>
                <w:b w:val="0"/>
                <w:i w:val="0"/>
                <w:color w:val="1A1A1A"/>
                <w:sz w:val="20"/>
              </w:rPr>
              <w:t>0%</w:t>
            </w:r>
          </w:p>
        </w:tc>
        <w:tc>
          <w:tcPr>
            <w:tcW w:type="dxa" w:w="2580"/>
            <w:vAlign w:val="center"/>
            <w:tcMar>
              <w:top w:w="80" w:type="dxa"/>
              <w:start w:w="120" w:type="dxa"/>
              <w:bottom w:w="80" w:type="dxa"/>
              <w:end w:w="120" w:type="dxa"/>
            </w:tcMar>
          </w:tcPr>
          <w:p>
            <w:pPr>
              <w:jc w:val="center"/>
            </w:pPr>
            <w:r>
              <w:rPr>
                <w:rFonts w:ascii="Calibri" w:hAnsi="Calibri"/>
                <w:b w:val="0"/>
                <w:i w:val="0"/>
                <w:color w:val="1A1A1A"/>
                <w:sz w:val="20"/>
              </w:rPr>
              <w:t>33.94%</w:t>
            </w:r>
          </w:p>
        </w:tc>
      </w:tr>
    </w:tbl>
    <w:p>
      <w:pPr>
        <w:spacing w:after="60"/>
      </w:pPr>
    </w:p>
    <w:p>
      <w:pPr>
        <w:pStyle w:val="Heading2"/>
        <w:keepNext/>
      </w:pPr>
      <w:r>
        <w:t>4.2 Frozen-model stochastic validation</w:t>
      </w:r>
    </w:p>
    <w:p>
      <w:pPr>
        <w:keepLines/>
        <w:spacing w:before="0" w:after="120" w:line="264" w:lineRule="auto"/>
      </w:pPr>
      <w:r>
        <w:rPr>
          <w:rFonts w:ascii="Calibri" w:hAnsi="Calibri"/>
          <w:b w:val="0"/>
          <w:i w:val="0"/>
          <w:color w:val="1A1A1A"/>
          <w:sz w:val="22"/>
        </w:rPr>
        <w:t>The optimized matrices were frozen and forward-simulated across 30 matched random-noise seeds. This separated stochastic simulation variability from optimization and prevented the comparison from depending on a single random realization.</w:t>
      </w:r>
    </w:p>
    <w:tbl>
      <w:tblPr>
        <w:tblStyle w:val="TableGrid"/>
        <w:tblW w:type="dxa" w:w="9360"/>
        <w:tblLayout w:type="fixed"/>
        <w:tblLook w:firstColumn="1" w:firstRow="1" w:lastColumn="0" w:lastRow="0" w:noHBand="0" w:noVBand="1" w:val="04A0"/>
        <w:jc w:val="left"/>
        <w:tblInd w:w="120" w:type="dxa"/>
      </w:tblPr>
      <w:tblGrid>
        <w:gridCol w:w="3600"/>
        <w:gridCol w:w="2100"/>
        <w:gridCol w:w="1560"/>
        <w:gridCol w:w="2100"/>
      </w:tblGrid>
      <w:tr>
        <w:tc>
          <w:tcPr>
            <w:tcW w:type="dxa" w:w="3600"/>
            <w:vAlign w:val="center"/>
            <w:tcMar>
              <w:top w:w="80" w:type="dxa"/>
              <w:start w:w="120" w:type="dxa"/>
              <w:bottom w:w="80" w:type="dxa"/>
              <w:end w:w="120" w:type="dxa"/>
            </w:tcMar>
            <w:shd w:fill="E8EEF5"/>
          </w:tcPr>
          <w:p>
            <w:pPr>
              <w:jc w:val="center"/>
            </w:pPr>
            <w:r>
              <w:rPr>
                <w:rFonts w:ascii="Calibri" w:hAnsi="Calibri"/>
                <w:b/>
                <w:i w:val="0"/>
                <w:color w:val="173A52"/>
                <w:sz w:val="20"/>
              </w:rPr>
              <w:t>Frozen model</w:t>
            </w:r>
          </w:p>
        </w:tc>
        <w:tc>
          <w:tcPr>
            <w:tcW w:type="dxa" w:w="2100"/>
            <w:vAlign w:val="center"/>
            <w:tcMar>
              <w:top w:w="80" w:type="dxa"/>
              <w:start w:w="120" w:type="dxa"/>
              <w:bottom w:w="80" w:type="dxa"/>
              <w:end w:w="120" w:type="dxa"/>
            </w:tcMar>
            <w:shd w:fill="E8EEF5"/>
          </w:tcPr>
          <w:p>
            <w:pPr>
              <w:jc w:val="center"/>
            </w:pPr>
            <w:r>
              <w:rPr>
                <w:rFonts w:ascii="Calibri" w:hAnsi="Calibri"/>
                <w:b/>
                <w:i w:val="0"/>
                <w:color w:val="173A52"/>
                <w:sz w:val="20"/>
              </w:rPr>
              <w:t>Mean FC correlation</w:t>
            </w:r>
          </w:p>
        </w:tc>
        <w:tc>
          <w:tcPr>
            <w:tcW w:type="dxa" w:w="1560"/>
            <w:vAlign w:val="center"/>
            <w:tcMar>
              <w:top w:w="80" w:type="dxa"/>
              <w:start w:w="120" w:type="dxa"/>
              <w:bottom w:w="80" w:type="dxa"/>
              <w:end w:w="120" w:type="dxa"/>
            </w:tcMar>
            <w:shd w:fill="E8EEF5"/>
          </w:tcPr>
          <w:p>
            <w:pPr>
              <w:jc w:val="center"/>
            </w:pPr>
            <w:r>
              <w:rPr>
                <w:rFonts w:ascii="Calibri" w:hAnsi="Calibri"/>
                <w:b/>
                <w:i w:val="0"/>
                <w:color w:val="173A52"/>
                <w:sz w:val="20"/>
              </w:rPr>
              <w:t>SD</w:t>
            </w:r>
          </w:p>
        </w:tc>
        <w:tc>
          <w:tcPr>
            <w:tcW w:type="dxa" w:w="2100"/>
            <w:vAlign w:val="center"/>
            <w:tcMar>
              <w:top w:w="80" w:type="dxa"/>
              <w:start w:w="120" w:type="dxa"/>
              <w:bottom w:w="80" w:type="dxa"/>
              <w:end w:w="120" w:type="dxa"/>
            </w:tcMar>
            <w:shd w:fill="E8EEF5"/>
          </w:tcPr>
          <w:p>
            <w:pPr>
              <w:jc w:val="center"/>
            </w:pPr>
            <w:r>
              <w:rPr>
                <w:rFonts w:ascii="Calibri" w:hAnsi="Calibri"/>
                <w:b/>
                <w:i w:val="0"/>
                <w:color w:val="173A52"/>
                <w:sz w:val="20"/>
              </w:rPr>
              <w:t>Mean FC MAE</w:t>
            </w:r>
          </w:p>
        </w:tc>
      </w:tr>
      <w:tr>
        <w:tc>
          <w:tcPr>
            <w:tcW w:type="dxa" w:w="3600"/>
            <w:vAlign w:val="center"/>
            <w:tcMar>
              <w:top w:w="80" w:type="dxa"/>
              <w:start w:w="120" w:type="dxa"/>
              <w:bottom w:w="80" w:type="dxa"/>
              <w:end w:w="120" w:type="dxa"/>
            </w:tcMar>
          </w:tcPr>
          <w:p>
            <w:pPr>
              <w:jc w:val="left"/>
            </w:pPr>
            <w:r>
              <w:rPr>
                <w:rFonts w:ascii="Calibri" w:hAnsi="Calibri"/>
                <w:b w:val="0"/>
                <w:i w:val="0"/>
                <w:color w:val="1A1A1A"/>
                <w:sz w:val="20"/>
              </w:rPr>
              <w:t>Cooperative-only</w:t>
            </w:r>
          </w:p>
        </w:tc>
        <w:tc>
          <w:tcPr>
            <w:tcW w:type="dxa" w:w="2100"/>
            <w:vAlign w:val="center"/>
            <w:tcMar>
              <w:top w:w="80" w:type="dxa"/>
              <w:start w:w="120" w:type="dxa"/>
              <w:bottom w:w="80" w:type="dxa"/>
              <w:end w:w="120" w:type="dxa"/>
            </w:tcMar>
          </w:tcPr>
          <w:p>
            <w:pPr>
              <w:jc w:val="center"/>
            </w:pPr>
            <w:r>
              <w:rPr>
                <w:rFonts w:ascii="Calibri" w:hAnsi="Calibri"/>
                <w:b w:val="0"/>
                <w:i w:val="0"/>
                <w:color w:val="1A1A1A"/>
                <w:sz w:val="20"/>
              </w:rPr>
              <w:t>0.482</w:t>
            </w:r>
          </w:p>
        </w:tc>
        <w:tc>
          <w:tcPr>
            <w:tcW w:type="dxa" w:w="1560"/>
            <w:vAlign w:val="center"/>
            <w:tcMar>
              <w:top w:w="80" w:type="dxa"/>
              <w:start w:w="120" w:type="dxa"/>
              <w:bottom w:w="80" w:type="dxa"/>
              <w:end w:w="120" w:type="dxa"/>
            </w:tcMar>
          </w:tcPr>
          <w:p>
            <w:pPr>
              <w:jc w:val="center"/>
            </w:pPr>
            <w:r>
              <w:rPr>
                <w:rFonts w:ascii="Calibri" w:hAnsi="Calibri"/>
                <w:b w:val="0"/>
                <w:i w:val="0"/>
                <w:color w:val="1A1A1A"/>
                <w:sz w:val="20"/>
              </w:rPr>
              <w:t>0.030</w:t>
            </w:r>
          </w:p>
        </w:tc>
        <w:tc>
          <w:tcPr>
            <w:tcW w:type="dxa" w:w="2100"/>
            <w:vAlign w:val="center"/>
            <w:tcMar>
              <w:top w:w="80" w:type="dxa"/>
              <w:start w:w="120" w:type="dxa"/>
              <w:bottom w:w="80" w:type="dxa"/>
              <w:end w:w="120" w:type="dxa"/>
            </w:tcMar>
          </w:tcPr>
          <w:p>
            <w:pPr>
              <w:jc w:val="center"/>
            </w:pPr>
            <w:r>
              <w:rPr>
                <w:rFonts w:ascii="Calibri" w:hAnsi="Calibri"/>
                <w:b w:val="0"/>
                <w:i w:val="0"/>
                <w:color w:val="1A1A1A"/>
                <w:sz w:val="20"/>
              </w:rPr>
              <w:t>0.161</w:t>
            </w:r>
          </w:p>
        </w:tc>
      </w:tr>
      <w:tr>
        <w:tc>
          <w:tcPr>
            <w:tcW w:type="dxa" w:w="3600"/>
            <w:vAlign w:val="center"/>
            <w:tcMar>
              <w:top w:w="80" w:type="dxa"/>
              <w:start w:w="120" w:type="dxa"/>
              <w:bottom w:w="80" w:type="dxa"/>
              <w:end w:w="120" w:type="dxa"/>
            </w:tcMar>
          </w:tcPr>
          <w:p>
            <w:pPr>
              <w:jc w:val="left"/>
            </w:pPr>
            <w:r>
              <w:rPr>
                <w:rFonts w:ascii="Calibri" w:hAnsi="Calibri"/>
                <w:b w:val="0"/>
                <w:i w:val="0"/>
                <w:color w:val="1A1A1A"/>
                <w:sz w:val="20"/>
              </w:rPr>
              <w:t>Signed</w:t>
            </w:r>
          </w:p>
        </w:tc>
        <w:tc>
          <w:tcPr>
            <w:tcW w:type="dxa" w:w="2100"/>
            <w:vAlign w:val="center"/>
            <w:tcMar>
              <w:top w:w="80" w:type="dxa"/>
              <w:start w:w="120" w:type="dxa"/>
              <w:bottom w:w="80" w:type="dxa"/>
              <w:end w:w="120" w:type="dxa"/>
            </w:tcMar>
          </w:tcPr>
          <w:p>
            <w:pPr>
              <w:jc w:val="center"/>
            </w:pPr>
            <w:r>
              <w:rPr>
                <w:rFonts w:ascii="Calibri" w:hAnsi="Calibri"/>
                <w:b w:val="0"/>
                <w:i w:val="0"/>
                <w:color w:val="1A1A1A"/>
                <w:sz w:val="20"/>
              </w:rPr>
              <w:t>0.677</w:t>
            </w:r>
          </w:p>
        </w:tc>
        <w:tc>
          <w:tcPr>
            <w:tcW w:type="dxa" w:w="1560"/>
            <w:vAlign w:val="center"/>
            <w:tcMar>
              <w:top w:w="80" w:type="dxa"/>
              <w:start w:w="120" w:type="dxa"/>
              <w:bottom w:w="80" w:type="dxa"/>
              <w:end w:w="120" w:type="dxa"/>
            </w:tcMar>
          </w:tcPr>
          <w:p>
            <w:pPr>
              <w:jc w:val="center"/>
            </w:pPr>
            <w:r>
              <w:rPr>
                <w:rFonts w:ascii="Calibri" w:hAnsi="Calibri"/>
                <w:b w:val="0"/>
                <w:i w:val="0"/>
                <w:color w:val="1A1A1A"/>
                <w:sz w:val="20"/>
              </w:rPr>
              <w:t>0.025</w:t>
            </w:r>
          </w:p>
        </w:tc>
        <w:tc>
          <w:tcPr>
            <w:tcW w:type="dxa" w:w="2100"/>
            <w:vAlign w:val="center"/>
            <w:tcMar>
              <w:top w:w="80" w:type="dxa"/>
              <w:start w:w="120" w:type="dxa"/>
              <w:bottom w:w="80" w:type="dxa"/>
              <w:end w:w="120" w:type="dxa"/>
            </w:tcMar>
          </w:tcPr>
          <w:p>
            <w:pPr>
              <w:jc w:val="center"/>
            </w:pPr>
            <w:r>
              <w:rPr>
                <w:rFonts w:ascii="Calibri" w:hAnsi="Calibri"/>
                <w:b w:val="0"/>
                <w:i w:val="0"/>
                <w:color w:val="1A1A1A"/>
                <w:sz w:val="20"/>
              </w:rPr>
              <w:t>0.130</w:t>
            </w:r>
          </w:p>
        </w:tc>
      </w:tr>
    </w:tbl>
    <w:p>
      <w:pPr>
        <w:spacing w:after="60"/>
      </w:pPr>
    </w:p>
    <w:p>
      <w:pPr>
        <w:keepLines/>
        <w:spacing w:before="0" w:after="120" w:line="264" w:lineRule="auto"/>
      </w:pPr>
      <w:r>
        <w:rPr>
          <w:rFonts w:ascii="Calibri" w:hAnsi="Calibri"/>
          <w:b w:val="0"/>
          <w:i w:val="0"/>
          <w:color w:val="1A1A1A"/>
          <w:sz w:val="22"/>
        </w:rPr>
        <w:t>The signed model performed better in all 30 matched simulations. Its mean FC-correlation advantage was 0.196, indicating that the improvement was robust to the model’s stochastic neural-noise process.</w:t>
      </w:r>
    </w:p>
    <w:p>
      <w:pPr>
        <w:keepNext/>
        <w:jc w:val="center"/>
      </w:pPr>
      <w:r>
        <w:drawing>
          <wp:inline xmlns:a="http://schemas.openxmlformats.org/drawingml/2006/main" xmlns:pic="http://schemas.openxmlformats.org/drawingml/2006/picture">
            <wp:extent cx="5669280" cy="2464033"/>
            <wp:docPr id="1" name="Picture 1"/>
            <wp:cNvGraphicFramePr>
              <a:graphicFrameLocks noChangeAspect="1"/>
            </wp:cNvGraphicFramePr>
            <a:graphic>
              <a:graphicData uri="http://schemas.openxmlformats.org/drawingml/2006/picture">
                <pic:pic>
                  <pic:nvPicPr>
                    <pic:cNvPr id="0" name="frozen_gc_stochastic_evaluation.png"/>
                    <pic:cNvPicPr/>
                  </pic:nvPicPr>
                  <pic:blipFill>
                    <a:blip r:embed="rId11"/>
                    <a:stretch>
                      <a:fillRect/>
                    </a:stretch>
                  </pic:blipFill>
                  <pic:spPr>
                    <a:xfrm>
                      <a:off x="0" y="0"/>
                      <a:ext cx="5669280" cy="2464033"/>
                    </a:xfrm>
                    <a:prstGeom prst="rect"/>
                  </pic:spPr>
                </pic:pic>
              </a:graphicData>
            </a:graphic>
          </wp:inline>
        </w:drawing>
      </w:r>
    </w:p>
    <w:p>
      <w:pPr>
        <w:spacing w:before="60" w:after="160"/>
        <w:jc w:val="center"/>
      </w:pPr>
      <w:r>
        <w:rPr>
          <w:rFonts w:ascii="Calibri" w:hAnsi="Calibri"/>
          <w:b w:val="0"/>
          <w:i/>
          <w:color w:val="68717A"/>
          <w:sz w:val="18"/>
        </w:rPr>
        <w:t>Figure 1. Frozen cooperative-only and signed models across 30 matched stochastic seeds.</w:t>
      </w:r>
    </w:p>
    <w:p>
      <w:pPr>
        <w:pStyle w:val="Heading1"/>
        <w:keepNext/>
      </w:pPr>
      <w:r>
        <w:t>5. Expanded Phase 2 — Mechanistic null experiments</w:t>
      </w:r>
    </w:p>
    <w:p>
      <w:pPr>
        <w:pStyle w:val="Heading2"/>
        <w:keepNext/>
      </w:pPr>
      <w:r>
        <w:t>5.1 Whole-network weight-placement null</w:t>
      </w:r>
    </w:p>
    <w:p>
      <w:pPr>
        <w:keepLines/>
        <w:spacing w:before="0" w:after="120" w:line="264" w:lineRule="auto"/>
      </w:pPr>
      <w:r>
        <w:rPr>
          <w:rFonts w:ascii="Calibri" w:hAnsi="Calibri"/>
          <w:b w:val="0"/>
          <w:i w:val="0"/>
          <w:color w:val="1A1A1A"/>
          <w:sz w:val="22"/>
        </w:rPr>
        <w:t>Reciprocal fitted weight pairs were permuted among anatomically occupied edges. The exact weight multiset, sign counts, density, anatomical mask and reciprocal-pair asymmetry were preserved, while the anatomical placement of the complete fitted weight set was disrupted.</w:t>
      </w:r>
    </w:p>
    <w:tbl>
      <w:tblPr>
        <w:tblStyle w:val="TableGrid"/>
        <w:tblW w:type="dxa" w:w="9360"/>
        <w:tblLayout w:type="fixed"/>
        <w:tblLook w:firstColumn="1" w:firstRow="1" w:lastColumn="0" w:lastRow="0" w:noHBand="0" w:noVBand="1" w:val="04A0"/>
        <w:jc w:val="left"/>
        <w:tblInd w:w="120" w:type="dxa"/>
      </w:tblPr>
      <w:tblGrid>
        <w:gridCol w:w="6500"/>
        <w:gridCol w:w="2860"/>
      </w:tblGrid>
      <w:tr>
        <w:tc>
          <w:tcPr>
            <w:tcW w:type="dxa" w:w="6500"/>
            <w:vAlign w:val="center"/>
            <w:tcMar>
              <w:top w:w="80" w:type="dxa"/>
              <w:start w:w="120" w:type="dxa"/>
              <w:bottom w:w="80" w:type="dxa"/>
              <w:end w:w="120" w:type="dxa"/>
            </w:tcMar>
            <w:shd w:fill="E8EEF5"/>
          </w:tcPr>
          <w:p>
            <w:pPr>
              <w:jc w:val="center"/>
            </w:pPr>
            <w:r>
              <w:rPr>
                <w:rFonts w:ascii="Calibri" w:hAnsi="Calibri"/>
                <w:b/>
                <w:i w:val="0"/>
                <w:color w:val="173A52"/>
                <w:sz w:val="20"/>
              </w:rPr>
              <w:t>Configuration</w:t>
            </w:r>
          </w:p>
        </w:tc>
        <w:tc>
          <w:tcPr>
            <w:tcW w:type="dxa" w:w="2860"/>
            <w:vAlign w:val="center"/>
            <w:tcMar>
              <w:top w:w="80" w:type="dxa"/>
              <w:start w:w="120" w:type="dxa"/>
              <w:bottom w:w="80" w:type="dxa"/>
              <w:end w:w="120" w:type="dxa"/>
            </w:tcMar>
            <w:shd w:fill="E8EEF5"/>
          </w:tcPr>
          <w:p>
            <w:pPr>
              <w:jc w:val="center"/>
            </w:pPr>
            <w:r>
              <w:rPr>
                <w:rFonts w:ascii="Calibri" w:hAnsi="Calibri"/>
                <w:b/>
                <w:i w:val="0"/>
                <w:color w:val="173A52"/>
                <w:sz w:val="20"/>
              </w:rPr>
              <w:t>Mean FC correlation</w:t>
            </w:r>
          </w:p>
        </w:tc>
      </w:tr>
      <w:tr>
        <w:tc>
          <w:tcPr>
            <w:tcW w:type="dxa" w:w="6500"/>
            <w:vAlign w:val="center"/>
            <w:tcMar>
              <w:top w:w="80" w:type="dxa"/>
              <w:start w:w="120" w:type="dxa"/>
              <w:bottom w:w="80" w:type="dxa"/>
              <w:end w:w="120" w:type="dxa"/>
            </w:tcMar>
          </w:tcPr>
          <w:p>
            <w:pPr>
              <w:jc w:val="left"/>
            </w:pPr>
            <w:r>
              <w:rPr>
                <w:rFonts w:ascii="Calibri" w:hAnsi="Calibri"/>
                <w:b w:val="0"/>
                <w:i w:val="0"/>
                <w:color w:val="1A1A1A"/>
                <w:sz w:val="20"/>
              </w:rPr>
              <w:t>Original fitted placement</w:t>
            </w:r>
          </w:p>
        </w:tc>
        <w:tc>
          <w:tcPr>
            <w:tcW w:type="dxa" w:w="2860"/>
            <w:vAlign w:val="center"/>
            <w:tcMar>
              <w:top w:w="80" w:type="dxa"/>
              <w:start w:w="120" w:type="dxa"/>
              <w:bottom w:w="80" w:type="dxa"/>
              <w:end w:w="120" w:type="dxa"/>
            </w:tcMar>
          </w:tcPr>
          <w:p>
            <w:pPr>
              <w:jc w:val="center"/>
            </w:pPr>
            <w:r>
              <w:rPr>
                <w:rFonts w:ascii="Calibri" w:hAnsi="Calibri"/>
                <w:b w:val="0"/>
                <w:i w:val="0"/>
                <w:color w:val="1A1A1A"/>
                <w:sz w:val="20"/>
              </w:rPr>
              <w:t>0.682</w:t>
            </w:r>
          </w:p>
        </w:tc>
      </w:tr>
      <w:tr>
        <w:tc>
          <w:tcPr>
            <w:tcW w:type="dxa" w:w="6500"/>
            <w:vAlign w:val="center"/>
            <w:tcMar>
              <w:top w:w="80" w:type="dxa"/>
              <w:start w:w="120" w:type="dxa"/>
              <w:bottom w:w="80" w:type="dxa"/>
              <w:end w:w="120" w:type="dxa"/>
            </w:tcMar>
          </w:tcPr>
          <w:p>
            <w:pPr>
              <w:jc w:val="left"/>
            </w:pPr>
            <w:r>
              <w:rPr>
                <w:rFonts w:ascii="Calibri" w:hAnsi="Calibri"/>
                <w:b w:val="0"/>
                <w:i w:val="0"/>
                <w:color w:val="1A1A1A"/>
                <w:sz w:val="20"/>
              </w:rPr>
              <w:t>Mean of 100 shuffled placements</w:t>
            </w:r>
          </w:p>
        </w:tc>
        <w:tc>
          <w:tcPr>
            <w:tcW w:type="dxa" w:w="2860"/>
            <w:vAlign w:val="center"/>
            <w:tcMar>
              <w:top w:w="80" w:type="dxa"/>
              <w:start w:w="120" w:type="dxa"/>
              <w:bottom w:w="80" w:type="dxa"/>
              <w:end w:w="120" w:type="dxa"/>
            </w:tcMar>
          </w:tcPr>
          <w:p>
            <w:pPr>
              <w:jc w:val="center"/>
            </w:pPr>
            <w:r>
              <w:rPr>
                <w:rFonts w:ascii="Calibri" w:hAnsi="Calibri"/>
                <w:b w:val="0"/>
                <w:i w:val="0"/>
                <w:color w:val="1A1A1A"/>
                <w:sz w:val="20"/>
              </w:rPr>
              <w:t>0.067</w:t>
            </w:r>
          </w:p>
        </w:tc>
      </w:tr>
      <w:tr>
        <w:tc>
          <w:tcPr>
            <w:tcW w:type="dxa" w:w="6500"/>
            <w:vAlign w:val="center"/>
            <w:tcMar>
              <w:top w:w="80" w:type="dxa"/>
              <w:start w:w="120" w:type="dxa"/>
              <w:bottom w:w="80" w:type="dxa"/>
              <w:end w:w="120" w:type="dxa"/>
            </w:tcMar>
          </w:tcPr>
          <w:p>
            <w:pPr>
              <w:jc w:val="left"/>
            </w:pPr>
            <w:r>
              <w:rPr>
                <w:rFonts w:ascii="Calibri" w:hAnsi="Calibri"/>
                <w:b w:val="0"/>
                <w:i w:val="0"/>
                <w:color w:val="1A1A1A"/>
                <w:sz w:val="20"/>
              </w:rPr>
              <w:t>Best shuffled placement</w:t>
            </w:r>
          </w:p>
        </w:tc>
        <w:tc>
          <w:tcPr>
            <w:tcW w:type="dxa" w:w="2860"/>
            <w:vAlign w:val="center"/>
            <w:tcMar>
              <w:top w:w="80" w:type="dxa"/>
              <w:start w:w="120" w:type="dxa"/>
              <w:bottom w:w="80" w:type="dxa"/>
              <w:end w:w="120" w:type="dxa"/>
            </w:tcMar>
          </w:tcPr>
          <w:p>
            <w:pPr>
              <w:jc w:val="center"/>
            </w:pPr>
            <w:r>
              <w:rPr>
                <w:rFonts w:ascii="Calibri" w:hAnsi="Calibri"/>
                <w:b w:val="0"/>
                <w:i w:val="0"/>
                <w:color w:val="1A1A1A"/>
                <w:sz w:val="20"/>
              </w:rPr>
              <w:t>0.116</w:t>
            </w:r>
          </w:p>
        </w:tc>
      </w:tr>
    </w:tbl>
    <w:p>
      <w:pPr>
        <w:spacing w:after="60"/>
      </w:pPr>
    </w:p>
    <w:p>
      <w:pPr>
        <w:keepLines/>
        <w:spacing w:before="0" w:after="120" w:line="264" w:lineRule="auto"/>
      </w:pPr>
      <w:r>
        <w:rPr>
          <w:rFonts w:ascii="Calibri" w:hAnsi="Calibri"/>
          <w:b w:val="0"/>
          <w:i w:val="0"/>
          <w:color w:val="1A1A1A"/>
          <w:sz w:val="22"/>
        </w:rPr>
        <w:t>No shuffled network matched the original (one-sided permutation p = 0.0099). The complete fitted weight organization was therefore highly location-dependent. Because positive and negative weights moved together, this null did not isolate either sign individually.</w:t>
      </w:r>
    </w:p>
    <w:p>
      <w:pPr>
        <w:keepNext/>
        <w:jc w:val="center"/>
      </w:pPr>
      <w:r>
        <w:drawing>
          <wp:inline xmlns:a="http://schemas.openxmlformats.org/drawingml/2006/main" xmlns:pic="http://schemas.openxmlformats.org/drawingml/2006/picture">
            <wp:extent cx="5669280" cy="3658501"/>
            <wp:docPr id="2" name="Picture 2"/>
            <wp:cNvGraphicFramePr>
              <a:graphicFrameLocks noChangeAspect="1"/>
            </wp:cNvGraphicFramePr>
            <a:graphic>
              <a:graphicData uri="http://schemas.openxmlformats.org/drawingml/2006/picture">
                <pic:pic>
                  <pic:nvPicPr>
                    <pic:cNvPr id="0" name="signed_weight_placement_null.png"/>
                    <pic:cNvPicPr/>
                  </pic:nvPicPr>
                  <pic:blipFill>
                    <a:blip r:embed="rId12"/>
                    <a:stretch>
                      <a:fillRect/>
                    </a:stretch>
                  </pic:blipFill>
                  <pic:spPr>
                    <a:xfrm>
                      <a:off x="0" y="0"/>
                      <a:ext cx="5669280" cy="3658501"/>
                    </a:xfrm>
                    <a:prstGeom prst="rect"/>
                  </pic:spPr>
                </pic:pic>
              </a:graphicData>
            </a:graphic>
          </wp:inline>
        </w:drawing>
      </w:r>
    </w:p>
    <w:p>
      <w:pPr>
        <w:spacing w:before="60" w:after="160"/>
        <w:jc w:val="center"/>
      </w:pPr>
      <w:r>
        <w:rPr>
          <w:rFonts w:ascii="Calibri" w:hAnsi="Calibri"/>
          <w:b w:val="0"/>
          <w:i/>
          <w:color w:val="68717A"/>
          <w:sz w:val="18"/>
        </w:rPr>
        <w:t>Figure 2. Original fitted weight placement compared with 100 topology-constrained shuffled networks.</w:t>
      </w:r>
    </w:p>
    <w:p>
      <w:pPr>
        <w:pStyle w:val="Heading2"/>
        <w:keepNext/>
      </w:pPr>
      <w:r>
        <w:t>5.2 Sign-specific strength organization and ablation</w:t>
      </w:r>
    </w:p>
    <w:p>
      <w:pPr>
        <w:keepLines/>
        <w:spacing w:before="0" w:after="120" w:line="264" w:lineRule="auto"/>
      </w:pPr>
      <w:r>
        <w:rPr>
          <w:rFonts w:ascii="Calibri" w:hAnsi="Calibri"/>
          <w:b w:val="0"/>
          <w:i w:val="0"/>
          <w:color w:val="1A1A1A"/>
          <w:sz w:val="22"/>
        </w:rPr>
        <w:t>Negative strengths were shuffled only among the 767 already-negative locations. As a balanced control, exactly 767 positive weights were selected to approximately match the negative magnitude distribution and shuffled only among those positive locations. Every non-targeted weight remained fixed.</w:t>
      </w:r>
    </w:p>
    <w:tbl>
      <w:tblPr>
        <w:tblStyle w:val="TableGrid"/>
        <w:tblW w:type="dxa" w:w="9360"/>
        <w:tblLayout w:type="fixed"/>
        <w:tblLook w:firstColumn="1" w:firstRow="1" w:lastColumn="0" w:lastRow="0" w:noHBand="0" w:noVBand="1" w:val="04A0"/>
        <w:jc w:val="left"/>
        <w:tblInd w:w="120" w:type="dxa"/>
      </w:tblPr>
      <w:tblGrid>
        <w:gridCol w:w="4800"/>
        <w:gridCol w:w="2280"/>
        <w:gridCol w:w="2280"/>
      </w:tblGrid>
      <w:tr>
        <w:tc>
          <w:tcPr>
            <w:tcW w:type="dxa" w:w="4800"/>
            <w:vAlign w:val="center"/>
            <w:tcMar>
              <w:top w:w="80" w:type="dxa"/>
              <w:start w:w="120" w:type="dxa"/>
              <w:bottom w:w="80" w:type="dxa"/>
              <w:end w:w="120" w:type="dxa"/>
            </w:tcMar>
            <w:shd w:fill="E8EEF5"/>
          </w:tcPr>
          <w:p>
            <w:pPr>
              <w:jc w:val="center"/>
            </w:pPr>
            <w:r>
              <w:rPr>
                <w:rFonts w:ascii="Calibri" w:hAnsi="Calibri"/>
                <w:b/>
                <w:i w:val="0"/>
                <w:color w:val="173A52"/>
                <w:sz w:val="20"/>
              </w:rPr>
              <w:t>Condition</w:t>
            </w:r>
          </w:p>
        </w:tc>
        <w:tc>
          <w:tcPr>
            <w:tcW w:type="dxa" w:w="2280"/>
            <w:vAlign w:val="center"/>
            <w:tcMar>
              <w:top w:w="80" w:type="dxa"/>
              <w:start w:w="120" w:type="dxa"/>
              <w:bottom w:w="80" w:type="dxa"/>
              <w:end w:w="120" w:type="dxa"/>
            </w:tcMar>
            <w:shd w:fill="E8EEF5"/>
          </w:tcPr>
          <w:p>
            <w:pPr>
              <w:jc w:val="center"/>
            </w:pPr>
            <w:r>
              <w:rPr>
                <w:rFonts w:ascii="Calibri" w:hAnsi="Calibri"/>
                <w:b/>
                <w:i w:val="0"/>
                <w:color w:val="173A52"/>
                <w:sz w:val="20"/>
              </w:rPr>
              <w:t>Mean FC correlation</w:t>
            </w:r>
          </w:p>
        </w:tc>
        <w:tc>
          <w:tcPr>
            <w:tcW w:type="dxa" w:w="2280"/>
            <w:vAlign w:val="center"/>
            <w:tcMar>
              <w:top w:w="80" w:type="dxa"/>
              <w:start w:w="120" w:type="dxa"/>
              <w:bottom w:w="80" w:type="dxa"/>
              <w:end w:w="120" w:type="dxa"/>
            </w:tcMar>
            <w:shd w:fill="E8EEF5"/>
          </w:tcPr>
          <w:p>
            <w:pPr>
              <w:jc w:val="center"/>
            </w:pPr>
            <w:r>
              <w:rPr>
                <w:rFonts w:ascii="Calibri" w:hAnsi="Calibri"/>
                <w:b/>
                <w:i w:val="0"/>
                <w:color w:val="173A52"/>
                <w:sz w:val="20"/>
              </w:rPr>
              <w:t>Loss from original</w:t>
            </w:r>
          </w:p>
        </w:tc>
      </w:tr>
      <w:tr>
        <w:tc>
          <w:tcPr>
            <w:tcW w:type="dxa" w:w="4800"/>
            <w:vAlign w:val="center"/>
            <w:tcMar>
              <w:top w:w="80" w:type="dxa"/>
              <w:start w:w="120" w:type="dxa"/>
              <w:bottom w:w="80" w:type="dxa"/>
              <w:end w:w="120" w:type="dxa"/>
            </w:tcMar>
          </w:tcPr>
          <w:p>
            <w:pPr>
              <w:jc w:val="left"/>
            </w:pPr>
            <w:r>
              <w:rPr>
                <w:rFonts w:ascii="Calibri" w:hAnsi="Calibri"/>
                <w:b w:val="0"/>
                <w:i w:val="0"/>
                <w:color w:val="1A1A1A"/>
                <w:sz w:val="20"/>
              </w:rPr>
              <w:t>Original signed network</w:t>
            </w:r>
          </w:p>
        </w:tc>
        <w:tc>
          <w:tcPr>
            <w:tcW w:type="dxa" w:w="2280"/>
            <w:vAlign w:val="center"/>
            <w:tcMar>
              <w:top w:w="80" w:type="dxa"/>
              <w:start w:w="120" w:type="dxa"/>
              <w:bottom w:w="80" w:type="dxa"/>
              <w:end w:w="120" w:type="dxa"/>
            </w:tcMar>
          </w:tcPr>
          <w:p>
            <w:pPr>
              <w:jc w:val="center"/>
            </w:pPr>
            <w:r>
              <w:rPr>
                <w:rFonts w:ascii="Calibri" w:hAnsi="Calibri"/>
                <w:b w:val="0"/>
                <w:i w:val="0"/>
                <w:color w:val="1A1A1A"/>
                <w:sz w:val="20"/>
              </w:rPr>
              <w:t>0.682</w:t>
            </w:r>
          </w:p>
        </w:tc>
        <w:tc>
          <w:tcPr>
            <w:tcW w:type="dxa" w:w="2280"/>
            <w:vAlign w:val="center"/>
            <w:tcMar>
              <w:top w:w="80" w:type="dxa"/>
              <w:start w:w="120" w:type="dxa"/>
              <w:bottom w:w="80" w:type="dxa"/>
              <w:end w:w="120" w:type="dxa"/>
            </w:tcMar>
          </w:tcPr>
          <w:p>
            <w:pPr>
              <w:jc w:val="center"/>
            </w:pPr>
            <w:r>
              <w:rPr>
                <w:rFonts w:ascii="Calibri" w:hAnsi="Calibri"/>
                <w:b w:val="0"/>
                <w:i w:val="0"/>
                <w:color w:val="1A1A1A"/>
                <w:sz w:val="20"/>
              </w:rPr>
              <w:t>—</w:t>
            </w:r>
          </w:p>
        </w:tc>
      </w:tr>
      <w:tr>
        <w:tc>
          <w:tcPr>
            <w:tcW w:type="dxa" w:w="4800"/>
            <w:vAlign w:val="center"/>
            <w:tcMar>
              <w:top w:w="80" w:type="dxa"/>
              <w:start w:w="120" w:type="dxa"/>
              <w:bottom w:w="80" w:type="dxa"/>
              <w:end w:w="120" w:type="dxa"/>
            </w:tcMar>
          </w:tcPr>
          <w:p>
            <w:pPr>
              <w:jc w:val="left"/>
            </w:pPr>
            <w:r>
              <w:rPr>
                <w:rFonts w:ascii="Calibri" w:hAnsi="Calibri"/>
                <w:b w:val="0"/>
                <w:i w:val="0"/>
                <w:color w:val="1A1A1A"/>
                <w:sz w:val="20"/>
              </w:rPr>
              <w:t>Negative-strength shuffle</w:t>
            </w:r>
          </w:p>
        </w:tc>
        <w:tc>
          <w:tcPr>
            <w:tcW w:type="dxa" w:w="2280"/>
            <w:vAlign w:val="center"/>
            <w:tcMar>
              <w:top w:w="80" w:type="dxa"/>
              <w:start w:w="120" w:type="dxa"/>
              <w:bottom w:w="80" w:type="dxa"/>
              <w:end w:w="120" w:type="dxa"/>
            </w:tcMar>
          </w:tcPr>
          <w:p>
            <w:pPr>
              <w:jc w:val="center"/>
            </w:pPr>
            <w:r>
              <w:rPr>
                <w:rFonts w:ascii="Calibri" w:hAnsi="Calibri"/>
                <w:b w:val="0"/>
                <w:i w:val="0"/>
                <w:color w:val="1A1A1A"/>
                <w:sz w:val="20"/>
              </w:rPr>
              <w:t>0.562</w:t>
            </w:r>
          </w:p>
        </w:tc>
        <w:tc>
          <w:tcPr>
            <w:tcW w:type="dxa" w:w="2280"/>
            <w:vAlign w:val="center"/>
            <w:tcMar>
              <w:top w:w="80" w:type="dxa"/>
              <w:start w:w="120" w:type="dxa"/>
              <w:bottom w:w="80" w:type="dxa"/>
              <w:end w:w="120" w:type="dxa"/>
            </w:tcMar>
          </w:tcPr>
          <w:p>
            <w:pPr>
              <w:jc w:val="center"/>
            </w:pPr>
            <w:r>
              <w:rPr>
                <w:rFonts w:ascii="Calibri" w:hAnsi="Calibri"/>
                <w:b w:val="0"/>
                <w:i w:val="0"/>
                <w:color w:val="1A1A1A"/>
                <w:sz w:val="20"/>
              </w:rPr>
              <w:t>0.119</w:t>
            </w:r>
          </w:p>
        </w:tc>
      </w:tr>
      <w:tr>
        <w:tc>
          <w:tcPr>
            <w:tcW w:type="dxa" w:w="4800"/>
            <w:vAlign w:val="center"/>
            <w:tcMar>
              <w:top w:w="80" w:type="dxa"/>
              <w:start w:w="120" w:type="dxa"/>
              <w:bottom w:w="80" w:type="dxa"/>
              <w:end w:w="120" w:type="dxa"/>
            </w:tcMar>
          </w:tcPr>
          <w:p>
            <w:pPr>
              <w:jc w:val="left"/>
            </w:pPr>
            <w:r>
              <w:rPr>
                <w:rFonts w:ascii="Calibri" w:hAnsi="Calibri"/>
                <w:b w:val="0"/>
                <w:i w:val="0"/>
                <w:color w:val="1A1A1A"/>
                <w:sz w:val="20"/>
              </w:rPr>
              <w:t>Matched positive-strength shuffle</w:t>
            </w:r>
          </w:p>
        </w:tc>
        <w:tc>
          <w:tcPr>
            <w:tcW w:type="dxa" w:w="2280"/>
            <w:vAlign w:val="center"/>
            <w:tcMar>
              <w:top w:w="80" w:type="dxa"/>
              <w:start w:w="120" w:type="dxa"/>
              <w:bottom w:w="80" w:type="dxa"/>
              <w:end w:w="120" w:type="dxa"/>
            </w:tcMar>
          </w:tcPr>
          <w:p>
            <w:pPr>
              <w:jc w:val="center"/>
            </w:pPr>
            <w:r>
              <w:rPr>
                <w:rFonts w:ascii="Calibri" w:hAnsi="Calibri"/>
                <w:b w:val="0"/>
                <w:i w:val="0"/>
                <w:color w:val="1A1A1A"/>
                <w:sz w:val="20"/>
              </w:rPr>
              <w:t>0.604</w:t>
            </w:r>
          </w:p>
        </w:tc>
        <w:tc>
          <w:tcPr>
            <w:tcW w:type="dxa" w:w="2280"/>
            <w:vAlign w:val="center"/>
            <w:tcMar>
              <w:top w:w="80" w:type="dxa"/>
              <w:start w:w="120" w:type="dxa"/>
              <w:bottom w:w="80" w:type="dxa"/>
              <w:end w:w="120" w:type="dxa"/>
            </w:tcMar>
          </w:tcPr>
          <w:p>
            <w:pPr>
              <w:jc w:val="center"/>
            </w:pPr>
            <w:r>
              <w:rPr>
                <w:rFonts w:ascii="Calibri" w:hAnsi="Calibri"/>
                <w:b w:val="0"/>
                <w:i w:val="0"/>
                <w:color w:val="1A1A1A"/>
                <w:sz w:val="20"/>
              </w:rPr>
              <w:t>0.078</w:t>
            </w:r>
          </w:p>
        </w:tc>
      </w:tr>
      <w:tr>
        <w:tc>
          <w:tcPr>
            <w:tcW w:type="dxa" w:w="4800"/>
            <w:vAlign w:val="center"/>
            <w:tcMar>
              <w:top w:w="80" w:type="dxa"/>
              <w:start w:w="120" w:type="dxa"/>
              <w:bottom w:w="80" w:type="dxa"/>
              <w:end w:w="120" w:type="dxa"/>
            </w:tcMar>
          </w:tcPr>
          <w:p>
            <w:pPr>
              <w:jc w:val="left"/>
            </w:pPr>
            <w:r>
              <w:rPr>
                <w:rFonts w:ascii="Calibri" w:hAnsi="Calibri"/>
                <w:b w:val="0"/>
                <w:i w:val="0"/>
                <w:color w:val="1A1A1A"/>
                <w:sz w:val="20"/>
              </w:rPr>
              <w:t>Negative weights removed</w:t>
            </w:r>
          </w:p>
        </w:tc>
        <w:tc>
          <w:tcPr>
            <w:tcW w:type="dxa" w:w="2280"/>
            <w:vAlign w:val="center"/>
            <w:tcMar>
              <w:top w:w="80" w:type="dxa"/>
              <w:start w:w="120" w:type="dxa"/>
              <w:bottom w:w="80" w:type="dxa"/>
              <w:end w:w="120" w:type="dxa"/>
            </w:tcMar>
          </w:tcPr>
          <w:p>
            <w:pPr>
              <w:jc w:val="center"/>
            </w:pPr>
            <w:r>
              <w:rPr>
                <w:rFonts w:ascii="Calibri" w:hAnsi="Calibri"/>
                <w:b w:val="0"/>
                <w:i w:val="0"/>
                <w:color w:val="1A1A1A"/>
                <w:sz w:val="20"/>
              </w:rPr>
              <w:t>0.443</w:t>
            </w:r>
          </w:p>
        </w:tc>
        <w:tc>
          <w:tcPr>
            <w:tcW w:type="dxa" w:w="2280"/>
            <w:vAlign w:val="center"/>
            <w:tcMar>
              <w:top w:w="80" w:type="dxa"/>
              <w:start w:w="120" w:type="dxa"/>
              <w:bottom w:w="80" w:type="dxa"/>
              <w:end w:w="120" w:type="dxa"/>
            </w:tcMar>
          </w:tcPr>
          <w:p>
            <w:pPr>
              <w:jc w:val="center"/>
            </w:pPr>
            <w:r>
              <w:rPr>
                <w:rFonts w:ascii="Calibri" w:hAnsi="Calibri"/>
                <w:b w:val="0"/>
                <w:i w:val="0"/>
                <w:color w:val="1A1A1A"/>
                <w:sz w:val="20"/>
              </w:rPr>
              <w:t>0.239</w:t>
            </w:r>
          </w:p>
        </w:tc>
      </w:tr>
      <w:tr>
        <w:tc>
          <w:tcPr>
            <w:tcW w:type="dxa" w:w="4800"/>
            <w:vAlign w:val="center"/>
            <w:tcMar>
              <w:top w:w="80" w:type="dxa"/>
              <w:start w:w="120" w:type="dxa"/>
              <w:bottom w:w="80" w:type="dxa"/>
              <w:end w:w="120" w:type="dxa"/>
            </w:tcMar>
          </w:tcPr>
          <w:p>
            <w:pPr>
              <w:jc w:val="left"/>
            </w:pPr>
            <w:r>
              <w:rPr>
                <w:rFonts w:ascii="Calibri" w:hAnsi="Calibri"/>
                <w:b w:val="0"/>
                <w:i w:val="0"/>
                <w:color w:val="1A1A1A"/>
                <w:sz w:val="20"/>
              </w:rPr>
              <w:t>Negative weights flipped positive</w:t>
            </w:r>
          </w:p>
        </w:tc>
        <w:tc>
          <w:tcPr>
            <w:tcW w:type="dxa" w:w="2280"/>
            <w:vAlign w:val="center"/>
            <w:tcMar>
              <w:top w:w="80" w:type="dxa"/>
              <w:start w:w="120" w:type="dxa"/>
              <w:bottom w:w="80" w:type="dxa"/>
              <w:end w:w="120" w:type="dxa"/>
            </w:tcMar>
          </w:tcPr>
          <w:p>
            <w:pPr>
              <w:jc w:val="center"/>
            </w:pPr>
            <w:r>
              <w:rPr>
                <w:rFonts w:ascii="Calibri" w:hAnsi="Calibri"/>
                <w:b w:val="0"/>
                <w:i w:val="0"/>
                <w:color w:val="1A1A1A"/>
                <w:sz w:val="20"/>
              </w:rPr>
              <w:t>0.344</w:t>
            </w:r>
          </w:p>
        </w:tc>
        <w:tc>
          <w:tcPr>
            <w:tcW w:type="dxa" w:w="2280"/>
            <w:vAlign w:val="center"/>
            <w:tcMar>
              <w:top w:w="80" w:type="dxa"/>
              <w:start w:w="120" w:type="dxa"/>
              <w:bottom w:w="80" w:type="dxa"/>
              <w:end w:w="120" w:type="dxa"/>
            </w:tcMar>
          </w:tcPr>
          <w:p>
            <w:pPr>
              <w:jc w:val="center"/>
            </w:pPr>
            <w:r>
              <w:rPr>
                <w:rFonts w:ascii="Calibri" w:hAnsi="Calibri"/>
                <w:b w:val="0"/>
                <w:i w:val="0"/>
                <w:color w:val="1A1A1A"/>
                <w:sz w:val="20"/>
              </w:rPr>
              <w:t>0.337</w:t>
            </w:r>
          </w:p>
        </w:tc>
      </w:tr>
    </w:tbl>
    <w:p>
      <w:pPr>
        <w:spacing w:after="60"/>
      </w:pPr>
    </w:p>
    <w:p>
      <w:pPr>
        <w:keepLines/>
        <w:spacing w:before="0" w:after="120" w:line="264" w:lineRule="auto"/>
      </w:pPr>
      <w:r>
        <w:rPr>
          <w:rFonts w:ascii="Calibri" w:hAnsi="Calibri"/>
          <w:b w:val="0"/>
          <w:i w:val="0"/>
          <w:color w:val="1A1A1A"/>
          <w:sz w:val="22"/>
        </w:rPr>
        <w:t>Both strength shuffles significantly impaired fit (p = 0.0099 for each null). The result supports location-specific organization of both cooperative and competitive strengths. Removing negative interactions damaged performance, and changing them to positive was more damaging still, indicating that their competitive sign—not merely their magnitudes and locations—was important.</w:t>
      </w:r>
    </w:p>
    <w:p>
      <w:pPr>
        <w:keepLines/>
        <w:spacing w:before="0" w:after="120" w:line="264" w:lineRule="auto"/>
      </w:pPr>
      <w:r>
        <w:rPr>
          <w:rFonts w:ascii="Calibri" w:hAnsi="Calibri"/>
          <w:b w:val="0"/>
          <w:i w:val="0"/>
          <w:color w:val="1A1A1A"/>
          <w:sz w:val="22"/>
        </w:rPr>
        <w:t>The negative-strength shuffle caused a larger average loss than the matched positive shuffle in this subject. This is not evidence that competition is universally more important: the analysis uses one subject and a magnitude-matched subset rather than all positive weights.</w:t>
      </w:r>
    </w:p>
    <w:p>
      <w:pPr>
        <w:keepNext/>
        <w:jc w:val="center"/>
      </w:pPr>
      <w:r>
        <w:drawing>
          <wp:inline xmlns:a="http://schemas.openxmlformats.org/drawingml/2006/main" xmlns:pic="http://schemas.openxmlformats.org/drawingml/2006/picture">
            <wp:extent cx="5669280" cy="2506217"/>
            <wp:docPr id="3" name="Picture 3"/>
            <wp:cNvGraphicFramePr>
              <a:graphicFrameLocks noChangeAspect="1"/>
            </wp:cNvGraphicFramePr>
            <a:graphic>
              <a:graphicData uri="http://schemas.openxmlformats.org/drawingml/2006/picture">
                <pic:pic>
                  <pic:nvPicPr>
                    <pic:cNvPr id="0" name="sign_specific_organization.png"/>
                    <pic:cNvPicPr/>
                  </pic:nvPicPr>
                  <pic:blipFill>
                    <a:blip r:embed="rId13"/>
                    <a:stretch>
                      <a:fillRect/>
                    </a:stretch>
                  </pic:blipFill>
                  <pic:spPr>
                    <a:xfrm>
                      <a:off x="0" y="0"/>
                      <a:ext cx="5669280" cy="2506217"/>
                    </a:xfrm>
                    <a:prstGeom prst="rect"/>
                  </pic:spPr>
                </pic:pic>
              </a:graphicData>
            </a:graphic>
          </wp:inline>
        </w:drawing>
      </w:r>
    </w:p>
    <w:p>
      <w:pPr>
        <w:spacing w:before="60" w:after="160"/>
        <w:jc w:val="center"/>
      </w:pPr>
      <w:r>
        <w:rPr>
          <w:rFonts w:ascii="Calibri" w:hAnsi="Calibri"/>
          <w:b w:val="0"/>
          <w:i/>
          <w:color w:val="68717A"/>
          <w:sz w:val="18"/>
        </w:rPr>
        <w:t>Figure 3. Negative-interaction ablations and matched sign-specific strength perturbations.</w:t>
      </w:r>
    </w:p>
    <w:p>
      <w:pPr>
        <w:pStyle w:val="Heading2"/>
        <w:keepNext/>
      </w:pPr>
      <w:r>
        <w:t>5.3 Anatomical sign-map null</w:t>
      </w:r>
    </w:p>
    <w:p>
      <w:pPr>
        <w:keepLines/>
        <w:spacing w:before="0" w:after="120" w:line="264" w:lineRule="auto"/>
      </w:pPr>
      <w:r>
        <w:rPr>
          <w:rFonts w:ascii="Calibri" w:hAnsi="Calibri"/>
          <w:b w:val="0"/>
          <w:i w:val="0"/>
          <w:color w:val="1A1A1A"/>
          <w:sz w:val="22"/>
        </w:rPr>
        <w:t>Every directed connection retained its exact absolute magnitude and anatomical location. Reciprocal sign-pattern pairs were redistributed among occupied region pairs while preserving the total positive/negative counts and the numbers of cooperative–cooperative, mixed-sign and competitive–competitive reciprocal patterns.</w:t>
      </w:r>
    </w:p>
    <w:tbl>
      <w:tblPr>
        <w:tblStyle w:val="TableGrid"/>
        <w:tblW w:type="dxa" w:w="9360"/>
        <w:tblLayout w:type="fixed"/>
        <w:tblLook w:firstColumn="1" w:firstRow="1" w:lastColumn="0" w:lastRow="0" w:noHBand="0" w:noVBand="1" w:val="04A0"/>
        <w:jc w:val="left"/>
        <w:tblInd w:w="120" w:type="dxa"/>
      </w:tblPr>
      <w:tblGrid>
        <w:gridCol w:w="6500"/>
        <w:gridCol w:w="2860"/>
      </w:tblGrid>
      <w:tr>
        <w:tc>
          <w:tcPr>
            <w:tcW w:type="dxa" w:w="6500"/>
            <w:vAlign w:val="center"/>
            <w:tcMar>
              <w:top w:w="80" w:type="dxa"/>
              <w:start w:w="120" w:type="dxa"/>
              <w:bottom w:w="80" w:type="dxa"/>
              <w:end w:w="120" w:type="dxa"/>
            </w:tcMar>
            <w:shd w:fill="E8EEF5"/>
          </w:tcPr>
          <w:p>
            <w:pPr>
              <w:jc w:val="center"/>
            </w:pPr>
            <w:r>
              <w:rPr>
                <w:rFonts w:ascii="Calibri" w:hAnsi="Calibri"/>
                <w:b/>
                <w:i w:val="0"/>
                <w:color w:val="173A52"/>
                <w:sz w:val="20"/>
              </w:rPr>
              <w:t>Sign map</w:t>
            </w:r>
          </w:p>
        </w:tc>
        <w:tc>
          <w:tcPr>
            <w:tcW w:type="dxa" w:w="2860"/>
            <w:vAlign w:val="center"/>
            <w:tcMar>
              <w:top w:w="80" w:type="dxa"/>
              <w:start w:w="120" w:type="dxa"/>
              <w:bottom w:w="80" w:type="dxa"/>
              <w:end w:w="120" w:type="dxa"/>
            </w:tcMar>
            <w:shd w:fill="E8EEF5"/>
          </w:tcPr>
          <w:p>
            <w:pPr>
              <w:jc w:val="center"/>
            </w:pPr>
            <w:r>
              <w:rPr>
                <w:rFonts w:ascii="Calibri" w:hAnsi="Calibri"/>
                <w:b/>
                <w:i w:val="0"/>
                <w:color w:val="173A52"/>
                <w:sz w:val="20"/>
              </w:rPr>
              <w:t>Mean FC correlation</w:t>
            </w:r>
          </w:p>
        </w:tc>
      </w:tr>
      <w:tr>
        <w:tc>
          <w:tcPr>
            <w:tcW w:type="dxa" w:w="6500"/>
            <w:vAlign w:val="center"/>
            <w:tcMar>
              <w:top w:w="80" w:type="dxa"/>
              <w:start w:w="120" w:type="dxa"/>
              <w:bottom w:w="80" w:type="dxa"/>
              <w:end w:w="120" w:type="dxa"/>
            </w:tcMar>
          </w:tcPr>
          <w:p>
            <w:pPr>
              <w:jc w:val="left"/>
            </w:pPr>
            <w:r>
              <w:rPr>
                <w:rFonts w:ascii="Calibri" w:hAnsi="Calibri"/>
                <w:b w:val="0"/>
                <w:i w:val="0"/>
                <w:color w:val="1A1A1A"/>
                <w:sz w:val="20"/>
              </w:rPr>
              <w:t>Original fitted sign map</w:t>
            </w:r>
          </w:p>
        </w:tc>
        <w:tc>
          <w:tcPr>
            <w:tcW w:type="dxa" w:w="2860"/>
            <w:vAlign w:val="center"/>
            <w:tcMar>
              <w:top w:w="80" w:type="dxa"/>
              <w:start w:w="120" w:type="dxa"/>
              <w:bottom w:w="80" w:type="dxa"/>
              <w:end w:w="120" w:type="dxa"/>
            </w:tcMar>
          </w:tcPr>
          <w:p>
            <w:pPr>
              <w:jc w:val="center"/>
            </w:pPr>
            <w:r>
              <w:rPr>
                <w:rFonts w:ascii="Calibri" w:hAnsi="Calibri"/>
                <w:b w:val="0"/>
                <w:i w:val="0"/>
                <w:color w:val="1A1A1A"/>
                <w:sz w:val="20"/>
              </w:rPr>
              <w:t>0.682</w:t>
            </w:r>
          </w:p>
        </w:tc>
      </w:tr>
      <w:tr>
        <w:tc>
          <w:tcPr>
            <w:tcW w:type="dxa" w:w="6500"/>
            <w:vAlign w:val="center"/>
            <w:tcMar>
              <w:top w:w="80" w:type="dxa"/>
              <w:start w:w="120" w:type="dxa"/>
              <w:bottom w:w="80" w:type="dxa"/>
              <w:end w:w="120" w:type="dxa"/>
            </w:tcMar>
          </w:tcPr>
          <w:p>
            <w:pPr>
              <w:jc w:val="left"/>
            </w:pPr>
            <w:r>
              <w:rPr>
                <w:rFonts w:ascii="Calibri" w:hAnsi="Calibri"/>
                <w:b w:val="0"/>
                <w:i w:val="0"/>
                <w:color w:val="1A1A1A"/>
                <w:sz w:val="20"/>
              </w:rPr>
              <w:t>Mean of 100 randomized sign maps</w:t>
            </w:r>
          </w:p>
        </w:tc>
        <w:tc>
          <w:tcPr>
            <w:tcW w:type="dxa" w:w="2860"/>
            <w:vAlign w:val="center"/>
            <w:tcMar>
              <w:top w:w="80" w:type="dxa"/>
              <w:start w:w="120" w:type="dxa"/>
              <w:bottom w:w="80" w:type="dxa"/>
              <w:end w:w="120" w:type="dxa"/>
            </w:tcMar>
          </w:tcPr>
          <w:p>
            <w:pPr>
              <w:jc w:val="center"/>
            </w:pPr>
            <w:r>
              <w:rPr>
                <w:rFonts w:ascii="Calibri" w:hAnsi="Calibri"/>
                <w:b w:val="0"/>
                <w:i w:val="0"/>
                <w:color w:val="1A1A1A"/>
                <w:sz w:val="20"/>
              </w:rPr>
              <w:t>0.040</w:t>
            </w:r>
          </w:p>
        </w:tc>
      </w:tr>
      <w:tr>
        <w:tc>
          <w:tcPr>
            <w:tcW w:type="dxa" w:w="6500"/>
            <w:vAlign w:val="center"/>
            <w:tcMar>
              <w:top w:w="80" w:type="dxa"/>
              <w:start w:w="120" w:type="dxa"/>
              <w:bottom w:w="80" w:type="dxa"/>
              <w:end w:w="120" w:type="dxa"/>
            </w:tcMar>
          </w:tcPr>
          <w:p>
            <w:pPr>
              <w:jc w:val="left"/>
            </w:pPr>
            <w:r>
              <w:rPr>
                <w:rFonts w:ascii="Calibri" w:hAnsi="Calibri"/>
                <w:b w:val="0"/>
                <w:i w:val="0"/>
                <w:color w:val="1A1A1A"/>
                <w:sz w:val="20"/>
              </w:rPr>
              <w:t>Best randomized sign map</w:t>
            </w:r>
          </w:p>
        </w:tc>
        <w:tc>
          <w:tcPr>
            <w:tcW w:type="dxa" w:w="2860"/>
            <w:vAlign w:val="center"/>
            <w:tcMar>
              <w:top w:w="80" w:type="dxa"/>
              <w:start w:w="120" w:type="dxa"/>
              <w:bottom w:w="80" w:type="dxa"/>
              <w:end w:w="120" w:type="dxa"/>
            </w:tcMar>
          </w:tcPr>
          <w:p>
            <w:pPr>
              <w:jc w:val="center"/>
            </w:pPr>
            <w:r>
              <w:rPr>
                <w:rFonts w:ascii="Calibri" w:hAnsi="Calibri"/>
                <w:b w:val="0"/>
                <w:i w:val="0"/>
                <w:color w:val="1A1A1A"/>
                <w:sz w:val="20"/>
              </w:rPr>
              <w:t>0.151</w:t>
            </w:r>
          </w:p>
        </w:tc>
      </w:tr>
    </w:tbl>
    <w:p>
      <w:pPr>
        <w:spacing w:after="60"/>
      </w:pPr>
    </w:p>
    <w:p>
      <w:pPr>
        <w:keepLines/>
        <w:spacing w:before="0" w:after="120" w:line="264" w:lineRule="auto"/>
      </w:pPr>
      <w:r>
        <w:rPr>
          <w:rFonts w:ascii="Calibri" w:hAnsi="Calibri"/>
          <w:b w:val="0"/>
          <w:i w:val="0"/>
          <w:color w:val="1A1A1A"/>
          <w:sz w:val="22"/>
        </w:rPr>
        <w:t>None of the randomized maps approached the original (one-sided permutation p = 0.0099). Thus, topology, magnitudes and overall cooperative–competitive balance were insufficient by themselves: the fitted signs also had to be assigned to appropriate anatomical locations.</w:t>
      </w:r>
    </w:p>
    <w:p>
      <w:pPr>
        <w:keepNext/>
        <w:jc w:val="center"/>
      </w:pPr>
      <w:r>
        <w:drawing>
          <wp:inline xmlns:a="http://schemas.openxmlformats.org/drawingml/2006/main" xmlns:pic="http://schemas.openxmlformats.org/drawingml/2006/picture">
            <wp:extent cx="5669280" cy="3611065"/>
            <wp:docPr id="4" name="Picture 4"/>
            <wp:cNvGraphicFramePr>
              <a:graphicFrameLocks noChangeAspect="1"/>
            </wp:cNvGraphicFramePr>
            <a:graphic>
              <a:graphicData uri="http://schemas.openxmlformats.org/drawingml/2006/picture">
                <pic:pic>
                  <pic:nvPicPr>
                    <pic:cNvPr id="0" name="sign_map_null.png"/>
                    <pic:cNvPicPr/>
                  </pic:nvPicPr>
                  <pic:blipFill>
                    <a:blip r:embed="rId14"/>
                    <a:stretch>
                      <a:fillRect/>
                    </a:stretch>
                  </pic:blipFill>
                  <pic:spPr>
                    <a:xfrm>
                      <a:off x="0" y="0"/>
                      <a:ext cx="5669280" cy="3611065"/>
                    </a:xfrm>
                    <a:prstGeom prst="rect"/>
                  </pic:spPr>
                </pic:pic>
              </a:graphicData>
            </a:graphic>
          </wp:inline>
        </w:drawing>
      </w:r>
    </w:p>
    <w:p>
      <w:pPr>
        <w:spacing w:before="60" w:after="160"/>
        <w:jc w:val="center"/>
      </w:pPr>
      <w:r>
        <w:rPr>
          <w:rFonts w:ascii="Calibri" w:hAnsi="Calibri"/>
          <w:b w:val="0"/>
          <w:i/>
          <w:color w:val="68717A"/>
          <w:sz w:val="18"/>
        </w:rPr>
        <w:t>Figure 4. Original anatomical sign map compared with 100 magnitude-preserving randomized sign maps.</w:t>
      </w:r>
    </w:p>
    <w:p>
      <w:pPr>
        <w:pStyle w:val="Heading1"/>
        <w:keepNext/>
      </w:pPr>
      <w:r>
        <w:t>6. Integrated interpretation</w:t>
      </w:r>
    </w:p>
    <w:p>
      <w:pPr>
        <w:keepLines/>
        <w:spacing w:before="0" w:after="120" w:line="264" w:lineRule="auto"/>
      </w:pPr>
      <w:r>
        <w:rPr>
          <w:rFonts w:ascii="Calibri" w:hAnsi="Calibri"/>
          <w:b w:val="0"/>
          <w:i w:val="0"/>
          <w:color w:val="1A1A1A"/>
          <w:sz w:val="22"/>
        </w:rPr>
        <w:t>The completed experiments support an evidence ladder rather than a single all-or-nothing claim. Each experiment holds different properties constant and isolates a different component of the fitted organization.</w:t>
      </w:r>
    </w:p>
    <w:tbl>
      <w:tblPr>
        <w:tblStyle w:val="TableGrid"/>
        <w:tblW w:type="dxa" w:w="9360"/>
        <w:tblLayout w:type="fixed"/>
        <w:tblLook w:firstColumn="1" w:firstRow="1" w:lastColumn="0" w:lastRow="0" w:noHBand="0" w:noVBand="1" w:val="04A0"/>
        <w:jc w:val="left"/>
        <w:tblInd w:w="120" w:type="dxa"/>
      </w:tblPr>
      <w:tblGrid>
        <w:gridCol w:w="3050"/>
        <w:gridCol w:w="6310"/>
      </w:tblGrid>
      <w:tr>
        <w:tc>
          <w:tcPr>
            <w:tcW w:type="dxa" w:w="3050"/>
            <w:vAlign w:val="center"/>
            <w:tcMar>
              <w:top w:w="80" w:type="dxa"/>
              <w:start w:w="120" w:type="dxa"/>
              <w:bottom w:w="80" w:type="dxa"/>
              <w:end w:w="120" w:type="dxa"/>
            </w:tcMar>
            <w:shd w:fill="E8EEF5"/>
          </w:tcPr>
          <w:p>
            <w:pPr>
              <w:jc w:val="center"/>
            </w:pPr>
            <w:r>
              <w:rPr>
                <w:rFonts w:ascii="Calibri" w:hAnsi="Calibri"/>
                <w:b/>
                <w:i w:val="0"/>
                <w:color w:val="173A52"/>
                <w:sz w:val="20"/>
              </w:rPr>
              <w:t>Evidence step</w:t>
            </w:r>
          </w:p>
        </w:tc>
        <w:tc>
          <w:tcPr>
            <w:tcW w:type="dxa" w:w="6310"/>
            <w:vAlign w:val="center"/>
            <w:tcMar>
              <w:top w:w="80" w:type="dxa"/>
              <w:start w:w="120" w:type="dxa"/>
              <w:bottom w:w="80" w:type="dxa"/>
              <w:end w:w="120" w:type="dxa"/>
            </w:tcMar>
            <w:shd w:fill="E8EEF5"/>
          </w:tcPr>
          <w:p>
            <w:pPr>
              <w:jc w:val="center"/>
            </w:pPr>
            <w:r>
              <w:rPr>
                <w:rFonts w:ascii="Calibri" w:hAnsi="Calibri"/>
                <w:b/>
                <w:i w:val="0"/>
                <w:color w:val="173A52"/>
                <w:sz w:val="20"/>
              </w:rPr>
              <w:t>Supported interpretation</w:t>
            </w:r>
          </w:p>
        </w:tc>
      </w:tr>
      <w:tr>
        <w:tc>
          <w:tcPr>
            <w:tcW w:type="dxa" w:w="3050"/>
            <w:vAlign w:val="center"/>
            <w:tcMar>
              <w:top w:w="80" w:type="dxa"/>
              <w:start w:w="120" w:type="dxa"/>
              <w:bottom w:w="80" w:type="dxa"/>
              <w:end w:w="120" w:type="dxa"/>
            </w:tcMar>
          </w:tcPr>
          <w:p>
            <w:pPr>
              <w:jc w:val="left"/>
            </w:pPr>
            <w:r>
              <w:rPr>
                <w:rFonts w:ascii="Calibri" w:hAnsi="Calibri"/>
                <w:b w:val="0"/>
                <w:i w:val="0"/>
                <w:color w:val="1A1A1A"/>
                <w:sz w:val="20"/>
              </w:rPr>
              <w:t>Signed &gt; cooperative-only</w:t>
            </w:r>
          </w:p>
        </w:tc>
        <w:tc>
          <w:tcPr>
            <w:tcW w:type="dxa" w:w="6310"/>
            <w:vAlign w:val="center"/>
            <w:tcMar>
              <w:top w:w="80" w:type="dxa"/>
              <w:start w:w="120" w:type="dxa"/>
              <w:bottom w:w="80" w:type="dxa"/>
              <w:end w:w="120" w:type="dxa"/>
            </w:tcMar>
          </w:tcPr>
          <w:p>
            <w:pPr>
              <w:jc w:val="center"/>
            </w:pPr>
            <w:r>
              <w:rPr>
                <w:rFonts w:ascii="Calibri" w:hAnsi="Calibri"/>
                <w:b w:val="0"/>
                <w:i w:val="0"/>
                <w:color w:val="1A1A1A"/>
                <w:sz w:val="20"/>
              </w:rPr>
              <w:t>Allowing cooperative and competitive effective interactions improves static FC fit.</w:t>
            </w:r>
          </w:p>
        </w:tc>
      </w:tr>
      <w:tr>
        <w:tc>
          <w:tcPr>
            <w:tcW w:type="dxa" w:w="3050"/>
            <w:vAlign w:val="center"/>
            <w:tcMar>
              <w:top w:w="80" w:type="dxa"/>
              <w:start w:w="120" w:type="dxa"/>
              <w:bottom w:w="80" w:type="dxa"/>
              <w:end w:w="120" w:type="dxa"/>
            </w:tcMar>
          </w:tcPr>
          <w:p>
            <w:pPr>
              <w:jc w:val="left"/>
            </w:pPr>
            <w:r>
              <w:rPr>
                <w:rFonts w:ascii="Calibri" w:hAnsi="Calibri"/>
                <w:b w:val="0"/>
                <w:i w:val="0"/>
                <w:color w:val="1A1A1A"/>
                <w:sz w:val="20"/>
              </w:rPr>
              <w:t>Frozen-seed validation</w:t>
            </w:r>
          </w:p>
        </w:tc>
        <w:tc>
          <w:tcPr>
            <w:tcW w:type="dxa" w:w="6310"/>
            <w:vAlign w:val="center"/>
            <w:tcMar>
              <w:top w:w="80" w:type="dxa"/>
              <w:start w:w="120" w:type="dxa"/>
              <w:bottom w:w="80" w:type="dxa"/>
              <w:end w:w="120" w:type="dxa"/>
            </w:tcMar>
          </w:tcPr>
          <w:p>
            <w:pPr>
              <w:jc w:val="center"/>
            </w:pPr>
            <w:r>
              <w:rPr>
                <w:rFonts w:ascii="Calibri" w:hAnsi="Calibri"/>
                <w:b w:val="0"/>
                <w:i w:val="0"/>
                <w:color w:val="1A1A1A"/>
                <w:sz w:val="20"/>
              </w:rPr>
              <w:t>The advantage is not dependent on one stochastic forward simulation.</w:t>
            </w:r>
          </w:p>
        </w:tc>
      </w:tr>
      <w:tr>
        <w:tc>
          <w:tcPr>
            <w:tcW w:type="dxa" w:w="3050"/>
            <w:vAlign w:val="center"/>
            <w:tcMar>
              <w:top w:w="80" w:type="dxa"/>
              <w:start w:w="120" w:type="dxa"/>
              <w:bottom w:w="80" w:type="dxa"/>
              <w:end w:w="120" w:type="dxa"/>
            </w:tcMar>
          </w:tcPr>
          <w:p>
            <w:pPr>
              <w:jc w:val="left"/>
            </w:pPr>
            <w:r>
              <w:rPr>
                <w:rFonts w:ascii="Calibri" w:hAnsi="Calibri"/>
                <w:b w:val="0"/>
                <w:i w:val="0"/>
                <w:color w:val="1A1A1A"/>
                <w:sz w:val="20"/>
              </w:rPr>
              <w:t>Whole-weight shuffle</w:t>
            </w:r>
          </w:p>
        </w:tc>
        <w:tc>
          <w:tcPr>
            <w:tcW w:type="dxa" w:w="6310"/>
            <w:vAlign w:val="center"/>
            <w:tcMar>
              <w:top w:w="80" w:type="dxa"/>
              <w:start w:w="120" w:type="dxa"/>
              <w:bottom w:w="80" w:type="dxa"/>
              <w:end w:w="120" w:type="dxa"/>
            </w:tcMar>
          </w:tcPr>
          <w:p>
            <w:pPr>
              <w:jc w:val="center"/>
            </w:pPr>
            <w:r>
              <w:rPr>
                <w:rFonts w:ascii="Calibri" w:hAnsi="Calibri"/>
                <w:b w:val="0"/>
                <w:i w:val="0"/>
                <w:color w:val="1A1A1A"/>
                <w:sz w:val="20"/>
              </w:rPr>
              <w:t>The complete fitted weight set is anatomically organized.</w:t>
            </w:r>
          </w:p>
        </w:tc>
      </w:tr>
      <w:tr>
        <w:tc>
          <w:tcPr>
            <w:tcW w:type="dxa" w:w="3050"/>
            <w:vAlign w:val="center"/>
            <w:tcMar>
              <w:top w:w="80" w:type="dxa"/>
              <w:start w:w="120" w:type="dxa"/>
              <w:bottom w:w="80" w:type="dxa"/>
              <w:end w:w="120" w:type="dxa"/>
            </w:tcMar>
          </w:tcPr>
          <w:p>
            <w:pPr>
              <w:jc w:val="left"/>
            </w:pPr>
            <w:r>
              <w:rPr>
                <w:rFonts w:ascii="Calibri" w:hAnsi="Calibri"/>
                <w:b w:val="0"/>
                <w:i w:val="0"/>
                <w:color w:val="1A1A1A"/>
                <w:sz w:val="20"/>
              </w:rPr>
              <w:t>Within-sign shuffles</w:t>
            </w:r>
          </w:p>
        </w:tc>
        <w:tc>
          <w:tcPr>
            <w:tcW w:type="dxa" w:w="6310"/>
            <w:vAlign w:val="center"/>
            <w:tcMar>
              <w:top w:w="80" w:type="dxa"/>
              <w:start w:w="120" w:type="dxa"/>
              <w:bottom w:w="80" w:type="dxa"/>
              <w:end w:w="120" w:type="dxa"/>
            </w:tcMar>
          </w:tcPr>
          <w:p>
            <w:pPr>
              <w:jc w:val="center"/>
            </w:pPr>
            <w:r>
              <w:rPr>
                <w:rFonts w:ascii="Calibri" w:hAnsi="Calibri"/>
                <w:b w:val="0"/>
                <w:i w:val="0"/>
                <w:color w:val="1A1A1A"/>
                <w:sz w:val="20"/>
              </w:rPr>
              <w:t>Both cooperative and competitive strength-to-location mappings carry information.</w:t>
            </w:r>
          </w:p>
        </w:tc>
      </w:tr>
      <w:tr>
        <w:tc>
          <w:tcPr>
            <w:tcW w:type="dxa" w:w="3050"/>
            <w:vAlign w:val="center"/>
            <w:tcMar>
              <w:top w:w="80" w:type="dxa"/>
              <w:start w:w="120" w:type="dxa"/>
              <w:bottom w:w="80" w:type="dxa"/>
              <w:end w:w="120" w:type="dxa"/>
            </w:tcMar>
          </w:tcPr>
          <w:p>
            <w:pPr>
              <w:jc w:val="left"/>
            </w:pPr>
            <w:r>
              <w:rPr>
                <w:rFonts w:ascii="Calibri" w:hAnsi="Calibri"/>
                <w:b w:val="0"/>
                <w:i w:val="0"/>
                <w:color w:val="1A1A1A"/>
                <w:sz w:val="20"/>
              </w:rPr>
              <w:t>Removal and sign flip</w:t>
            </w:r>
          </w:p>
        </w:tc>
        <w:tc>
          <w:tcPr>
            <w:tcW w:type="dxa" w:w="6310"/>
            <w:vAlign w:val="center"/>
            <w:tcMar>
              <w:top w:w="80" w:type="dxa"/>
              <w:start w:w="120" w:type="dxa"/>
              <w:bottom w:w="80" w:type="dxa"/>
              <w:end w:w="120" w:type="dxa"/>
            </w:tcMar>
          </w:tcPr>
          <w:p>
            <w:pPr>
              <w:jc w:val="center"/>
            </w:pPr>
            <w:r>
              <w:rPr>
                <w:rFonts w:ascii="Calibri" w:hAnsi="Calibri"/>
                <w:b w:val="0"/>
                <w:i w:val="0"/>
                <w:color w:val="1A1A1A"/>
                <w:sz w:val="20"/>
              </w:rPr>
              <w:t>Competitive interactions must be present and retain their negative sign.</w:t>
            </w:r>
          </w:p>
        </w:tc>
      </w:tr>
      <w:tr>
        <w:tc>
          <w:tcPr>
            <w:tcW w:type="dxa" w:w="3050"/>
            <w:vAlign w:val="center"/>
            <w:tcMar>
              <w:top w:w="80" w:type="dxa"/>
              <w:start w:w="120" w:type="dxa"/>
              <w:bottom w:w="80" w:type="dxa"/>
              <w:end w:w="120" w:type="dxa"/>
            </w:tcMar>
          </w:tcPr>
          <w:p>
            <w:pPr>
              <w:jc w:val="left"/>
            </w:pPr>
            <w:r>
              <w:rPr>
                <w:rFonts w:ascii="Calibri" w:hAnsi="Calibri"/>
                <w:b w:val="0"/>
                <w:i w:val="0"/>
                <w:color w:val="1A1A1A"/>
                <w:sz w:val="20"/>
              </w:rPr>
              <w:t>Sign-map null</w:t>
            </w:r>
          </w:p>
        </w:tc>
        <w:tc>
          <w:tcPr>
            <w:tcW w:type="dxa" w:w="6310"/>
            <w:vAlign w:val="center"/>
            <w:tcMar>
              <w:top w:w="80" w:type="dxa"/>
              <w:start w:w="120" w:type="dxa"/>
              <w:bottom w:w="80" w:type="dxa"/>
              <w:end w:w="120" w:type="dxa"/>
            </w:tcMar>
          </w:tcPr>
          <w:p>
            <w:pPr>
              <w:jc w:val="center"/>
            </w:pPr>
            <w:r>
              <w:rPr>
                <w:rFonts w:ascii="Calibri" w:hAnsi="Calibri"/>
                <w:b w:val="0"/>
                <w:i w:val="0"/>
                <w:color w:val="1A1A1A"/>
                <w:sz w:val="20"/>
              </w:rPr>
              <w:t>The anatomical allocation of cooperative and competitive roles contributes beyond fixed topology and magnitudes.</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E8EEF5"/>
          </w:tcPr>
          <w:p>
            <w:pPr>
              <w:spacing w:after="40"/>
            </w:pPr>
            <w:r>
              <w:rPr>
                <w:rFonts w:ascii="Calibri" w:hAnsi="Calibri"/>
                <w:b/>
                <w:i w:val="0"/>
                <w:color w:val="173A52"/>
                <w:sz w:val="22"/>
              </w:rPr>
              <w:t xml:space="preserve">Bounded conclusion: </w:t>
            </w:r>
            <w:r>
              <w:rPr>
                <w:rFonts w:ascii="Calibri" w:hAnsi="Calibri"/>
                <w:b w:val="0"/>
                <w:i w:val="0"/>
                <w:color w:val="1A1A1A"/>
                <w:sz w:val="22"/>
              </w:rPr>
              <w:t>Cooperative and competitive effective interactions jointly contribute to reproducing empirical static functional connectivity. Their strengths, signs and anatomical assignments form an interdependent fitted organization.</w:t>
            </w:r>
          </w:p>
        </w:tc>
      </w:tr>
    </w:tbl>
    <w:p>
      <w:pPr>
        <w:spacing w:after="40"/>
      </w:pPr>
    </w:p>
    <w:p>
      <w:pPr>
        <w:pStyle w:val="Heading2"/>
        <w:keepNext/>
      </w:pPr>
      <w:r>
        <w:t>6.1 Connection to the landscape hypothesis</w:t>
      </w:r>
    </w:p>
    <w:p>
      <w:pPr>
        <w:keepLines/>
        <w:spacing w:before="0" w:after="120" w:line="264" w:lineRule="auto"/>
      </w:pPr>
      <w:r>
        <w:rPr>
          <w:rFonts w:ascii="Calibri" w:hAnsi="Calibri"/>
          <w:b w:val="0"/>
          <w:i w:val="0"/>
          <w:color w:val="1A1A1A"/>
          <w:sz w:val="22"/>
        </w:rPr>
        <w:t>The Phase 2 findings established a static-FC bridge to the broader proposal that cooperative and competitive interactions jointly shape a dynamical landscape. Phase 3 subsequently measured synchrony, metastability and continuous LEiDA landscape properties directly. It does not yet measure adaptive explore–exploit behaviour; that claim remains reserved for the explicit reversal-learning experiment.</w:t>
      </w:r>
    </w:p>
    <w:p>
      <w:pPr>
        <w:pStyle w:val="Heading1"/>
        <w:keepNext/>
      </w:pPr>
      <w:r>
        <w:t>7. Limitations and safeguards</w:t>
      </w:r>
    </w:p>
    <w:p>
      <w:pPr>
        <w:pStyle w:val="ListBullet"/>
        <w:spacing w:after="100" w:line="280" w:lineRule="auto"/>
      </w:pPr>
      <w:r>
        <w:rPr>
          <w:rFonts w:ascii="Calibri" w:hAnsi="Calibri"/>
          <w:b w:val="0"/>
          <w:i w:val="0"/>
          <w:color w:val="1A1A1A"/>
          <w:sz w:val="22"/>
        </w:rPr>
        <w:t>Single-subject scope: the results cannot yet be generalized across people.</w:t>
      </w:r>
    </w:p>
    <w:p>
      <w:pPr>
        <w:pStyle w:val="ListBullet"/>
        <w:spacing w:after="100" w:line="280" w:lineRule="auto"/>
      </w:pPr>
      <w:r>
        <w:rPr>
          <w:rFonts w:ascii="Calibri" w:hAnsi="Calibri"/>
          <w:b w:val="0"/>
          <w:i w:val="0"/>
          <w:color w:val="1A1A1A"/>
          <w:sz w:val="22"/>
        </w:rPr>
        <w:t>Simulation seeds are repeated stochastic runs, not independent biological observations.</w:t>
      </w:r>
    </w:p>
    <w:p>
      <w:pPr>
        <w:pStyle w:val="ListBullet"/>
        <w:spacing w:after="100" w:line="280" w:lineRule="auto"/>
      </w:pPr>
      <w:r>
        <w:rPr>
          <w:rFonts w:ascii="Calibri" w:hAnsi="Calibri"/>
          <w:b w:val="0"/>
          <w:i w:val="0"/>
          <w:color w:val="1A1A1A"/>
          <w:sz w:val="22"/>
        </w:rPr>
        <w:t>Frozen perturbations: signs and magnitudes were optimized jointly; shuffling one component creates a deliberately mismatched configuration and does not test all possible reoptimized alternatives.</w:t>
      </w:r>
    </w:p>
    <w:p>
      <w:pPr>
        <w:pStyle w:val="ListBullet"/>
        <w:spacing w:after="100" w:line="280" w:lineRule="auto"/>
      </w:pPr>
      <w:r>
        <w:rPr>
          <w:rFonts w:ascii="Calibri" w:hAnsi="Calibri"/>
          <w:b w:val="0"/>
          <w:i w:val="0"/>
          <w:color w:val="1A1A1A"/>
          <w:sz w:val="22"/>
        </w:rPr>
        <w:t>Effective-connectivity interpretation: negative generative weights represent model-inferred competitive influence and should not be equated with direct long-range inhibitory anatomy.</w:t>
      </w:r>
    </w:p>
    <w:p>
      <w:pPr>
        <w:pStyle w:val="ListBullet"/>
        <w:spacing w:after="100" w:line="280" w:lineRule="auto"/>
      </w:pPr>
      <w:r>
        <w:rPr>
          <w:rFonts w:ascii="Calibri" w:hAnsi="Calibri"/>
          <w:b w:val="0"/>
          <w:i w:val="0"/>
          <w:color w:val="1A1A1A"/>
          <w:sz w:val="22"/>
        </w:rPr>
        <w:t>Static outcome: FC correlation does not by itself characterize the temporal organization of brain states.</w:t>
      </w:r>
    </w:p>
    <w:p>
      <w:pPr>
        <w:pStyle w:val="ListBullet"/>
        <w:spacing w:after="100" w:line="280" w:lineRule="auto"/>
      </w:pPr>
      <w:r>
        <w:rPr>
          <w:rFonts w:ascii="Calibri" w:hAnsi="Calibri"/>
          <w:b w:val="0"/>
          <w:i w:val="0"/>
          <w:color w:val="1A1A1A"/>
          <w:sz w:val="22"/>
        </w:rPr>
        <w:t>Permutation resolution: with 100 shuffles, the smallest corrected one-sided permutation estimate is 1/101 = 0.0099.</w:t>
      </w:r>
    </w:p>
    <w:p>
      <w:pPr>
        <w:pStyle w:val="Heading1"/>
        <w:keepNext/>
      </w:pPr>
      <w:r>
        <w:t>8. Phase 3 handoff — Dynamical validation</w:t>
      </w:r>
    </w:p>
    <w:p>
      <w:pPr>
        <w:keepLines/>
        <w:spacing w:before="0" w:after="120" w:line="264" w:lineRule="auto"/>
      </w:pPr>
      <w:r>
        <w:rPr>
          <w:rFonts w:ascii="Calibri" w:hAnsi="Calibri"/>
          <w:b/>
          <w:i w:val="0"/>
          <w:color w:val="1A1A1A"/>
          <w:sz w:val="22"/>
        </w:rPr>
        <w:t>Status:</w:t>
      </w:r>
      <w:r>
        <w:rPr>
          <w:rFonts w:ascii="Calibri" w:hAnsi="Calibri"/>
          <w:b w:val="0"/>
          <w:i w:val="0"/>
          <w:color w:val="1A1A1A"/>
          <w:sz w:val="22"/>
        </w:rPr>
        <w:t xml:space="preserve"> core characterization complete.</w:t>
      </w:r>
    </w:p>
    <w:p>
      <w:pPr>
        <w:keepLines/>
        <w:spacing w:before="0" w:after="120" w:line="264" w:lineRule="auto"/>
      </w:pPr>
      <w:r>
        <w:rPr>
          <w:rFonts w:ascii="Calibri" w:hAnsi="Calibri"/>
          <w:b w:val="0"/>
          <w:i w:val="0"/>
          <w:color w:val="1A1A1A"/>
          <w:sz w:val="22"/>
        </w:rPr>
        <w:t>Phase 3 will test whether the empirical, cooperative-only and signed models differ in how activity coordinates and changes through time. Metrics will be validated on synthetic signals before being interpreted on empirical or simulated BOLD data.</w:t>
      </w:r>
    </w:p>
    <w:p>
      <w:pPr>
        <w:pStyle w:val="ListBullet"/>
        <w:spacing w:after="100" w:line="280" w:lineRule="auto"/>
      </w:pPr>
      <w:r>
        <w:rPr>
          <w:rFonts w:ascii="Calibri" w:hAnsi="Calibri"/>
          <w:b w:val="0"/>
          <w:i w:val="0"/>
          <w:color w:val="1A1A1A"/>
          <w:sz w:val="22"/>
        </w:rPr>
        <w:t>Compute instantaneous phase for every regional signal.</w:t>
      </w:r>
    </w:p>
    <w:p>
      <w:pPr>
        <w:pStyle w:val="ListBullet"/>
        <w:spacing w:after="100" w:line="280" w:lineRule="auto"/>
      </w:pPr>
      <w:r>
        <w:rPr>
          <w:rFonts w:ascii="Calibri" w:hAnsi="Calibri"/>
          <w:b w:val="0"/>
          <w:i w:val="0"/>
          <w:color w:val="1A1A1A"/>
          <w:sz w:val="22"/>
        </w:rPr>
        <w:t>Compute the Kuramoto order parameter at every time point.</w:t>
      </w:r>
    </w:p>
    <w:p>
      <w:pPr>
        <w:pStyle w:val="ListBullet"/>
        <w:spacing w:after="100" w:line="280" w:lineRule="auto"/>
      </w:pPr>
      <w:r>
        <w:rPr>
          <w:rFonts w:ascii="Calibri" w:hAnsi="Calibri"/>
          <w:b w:val="0"/>
          <w:i w:val="0"/>
          <w:color w:val="1A1A1A"/>
          <w:sz w:val="22"/>
        </w:rPr>
        <w:t>Define synchrony as mean global phase coordination over time.</w:t>
      </w:r>
    </w:p>
    <w:p>
      <w:pPr>
        <w:pStyle w:val="ListBullet"/>
        <w:spacing w:after="100" w:line="280" w:lineRule="auto"/>
      </w:pPr>
      <w:r>
        <w:rPr>
          <w:rFonts w:ascii="Calibri" w:hAnsi="Calibri"/>
          <w:b w:val="0"/>
          <w:i w:val="0"/>
          <w:color w:val="1A1A1A"/>
          <w:sz w:val="22"/>
        </w:rPr>
        <w:t>Define metastability as temporal variability in global phase coordination.</w:t>
      </w:r>
    </w:p>
    <w:p>
      <w:pPr>
        <w:pStyle w:val="ListBullet"/>
        <w:spacing w:after="100" w:line="280" w:lineRule="auto"/>
      </w:pPr>
      <w:r>
        <w:rPr>
          <w:rFonts w:ascii="Calibri" w:hAnsi="Calibri"/>
          <w:b w:val="0"/>
          <w:i w:val="0"/>
          <w:color w:val="1A1A1A"/>
          <w:sz w:val="22"/>
        </w:rPr>
        <w:t>Validate the metrics on synchronized, independent, metastable and random synthetic signals.</w:t>
      </w:r>
    </w:p>
    <w:p>
      <w:pPr>
        <w:pStyle w:val="ListBullet"/>
        <w:spacing w:after="100" w:line="280" w:lineRule="auto"/>
      </w:pPr>
      <w:r>
        <w:rPr>
          <w:rFonts w:ascii="Calibri" w:hAnsi="Calibri"/>
          <w:b w:val="0"/>
          <w:i w:val="0"/>
          <w:color w:val="1A1A1A"/>
          <w:sz w:val="22"/>
        </w:rPr>
        <w:t>Compare empirical, cooperative-only and signed dynamics.</w:t>
      </w:r>
    </w:p>
    <w:p>
      <w:pPr>
        <w:pStyle w:val="ListBullet"/>
        <w:spacing w:after="100" w:line="280" w:lineRule="auto"/>
      </w:pPr>
      <w:r>
        <w:rPr>
          <w:rFonts w:ascii="Calibri" w:hAnsi="Calibri"/>
          <w:b w:val="0"/>
          <w:i w:val="0"/>
          <w:color w:val="1A1A1A"/>
          <w:sz w:val="22"/>
        </w:rPr>
        <w:t>Later add windowed FC, recurrent-state clustering, dwell time, occupancy and transition entropy.</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2F4F7"/>
          </w:tcPr>
          <w:p>
            <w:pPr>
              <w:spacing w:after="40"/>
            </w:pPr>
            <w:r>
              <w:rPr>
                <w:rFonts w:ascii="Calibri" w:hAnsi="Calibri"/>
                <w:b/>
                <w:i w:val="0"/>
                <w:color w:val="173A52"/>
                <w:sz w:val="22"/>
              </w:rPr>
              <w:t xml:space="preserve">Phase 3 gate: </w:t>
            </w:r>
            <w:r>
              <w:rPr>
                <w:rFonts w:ascii="Calibri" w:hAnsi="Calibri"/>
                <w:b w:val="0"/>
                <w:i w:val="0"/>
                <w:color w:val="1A1A1A"/>
                <w:sz w:val="22"/>
              </w:rPr>
              <w:t>The implemented metrics must correctly distinguish synthetic synchronized, independent, metastable and random signals before any biological interpretation is attempted.</w:t>
            </w:r>
          </w:p>
        </w:tc>
      </w:tr>
    </w:tbl>
    <w:p>
      <w:pPr>
        <w:spacing w:after="40"/>
      </w:pPr>
    </w:p>
    <w:p>
      <w:pPr>
        <w:pStyle w:val="Heading2"/>
        <w:keepNext/>
      </w:pPr>
      <w:r>
        <w:t>8.1 Measurement-instrument validation</w:t>
      </w:r>
    </w:p>
    <w:p>
      <w:pPr>
        <w:keepLines/>
        <w:spacing w:before="0" w:after="120" w:line="264" w:lineRule="auto"/>
      </w:pPr>
      <w:r>
        <w:rPr>
          <w:rFonts w:ascii="Calibri" w:hAnsi="Calibri"/>
          <w:b w:val="0"/>
          <w:i w:val="0"/>
          <w:color w:val="1A1A1A"/>
          <w:sz w:val="22"/>
        </w:rPr>
        <w:t>The first Phase 3 instrument was implemented in two layers: the Hilbert transform estimates instantaneous phase from narrow-band regional signals, and the Kuramoto order parameter summarizes global phase alignment at each timepoint. Synchrony is the temporal mean of R(t), and metastability is its population standard deviation.</w:t>
      </w:r>
    </w:p>
    <w:tbl>
      <w:tblPr>
        <w:tblStyle w:val="TableGrid"/>
        <w:tblW w:type="dxa" w:w="9360"/>
        <w:tblLayout w:type="fixed"/>
        <w:tblLook w:firstColumn="1" w:firstRow="1" w:lastColumn="0" w:lastRow="0" w:noHBand="0" w:noVBand="1" w:val="04A0"/>
        <w:jc w:val="left"/>
        <w:tblInd w:w="120" w:type="dxa"/>
      </w:tblPr>
      <w:tblGrid>
        <w:gridCol w:w="2600"/>
        <w:gridCol w:w="1700"/>
        <w:gridCol w:w="1800"/>
        <w:gridCol w:w="3260"/>
      </w:tblGrid>
      <w:tr>
        <w:tc>
          <w:tcPr>
            <w:tcW w:type="dxa" w:w="2600"/>
            <w:vAlign w:val="center"/>
            <w:tcMar>
              <w:top w:w="80" w:type="dxa"/>
              <w:start w:w="120" w:type="dxa"/>
              <w:bottom w:w="80" w:type="dxa"/>
              <w:end w:w="120" w:type="dxa"/>
            </w:tcMar>
            <w:shd w:fill="E8EEF5"/>
          </w:tcPr>
          <w:p>
            <w:pPr>
              <w:jc w:val="center"/>
            </w:pPr>
            <w:r>
              <w:rPr>
                <w:rFonts w:ascii="Calibri" w:hAnsi="Calibri"/>
                <w:b/>
                <w:i w:val="0"/>
                <w:color w:val="173A52"/>
                <w:sz w:val="20"/>
              </w:rPr>
              <w:t>Synthetic regime</w:t>
            </w:r>
          </w:p>
        </w:tc>
        <w:tc>
          <w:tcPr>
            <w:tcW w:type="dxa" w:w="1700"/>
            <w:vAlign w:val="center"/>
            <w:tcMar>
              <w:top w:w="80" w:type="dxa"/>
              <w:start w:w="120" w:type="dxa"/>
              <w:bottom w:w="80" w:type="dxa"/>
              <w:end w:w="120" w:type="dxa"/>
            </w:tcMar>
            <w:shd w:fill="E8EEF5"/>
          </w:tcPr>
          <w:p>
            <w:pPr>
              <w:jc w:val="center"/>
            </w:pPr>
            <w:r>
              <w:rPr>
                <w:rFonts w:ascii="Calibri" w:hAnsi="Calibri"/>
                <w:b/>
                <w:i w:val="0"/>
                <w:color w:val="173A52"/>
                <w:sz w:val="20"/>
              </w:rPr>
              <w:t>Synchrony</w:t>
            </w:r>
          </w:p>
        </w:tc>
        <w:tc>
          <w:tcPr>
            <w:tcW w:type="dxa" w:w="1800"/>
            <w:vAlign w:val="center"/>
            <w:tcMar>
              <w:top w:w="80" w:type="dxa"/>
              <w:start w:w="120" w:type="dxa"/>
              <w:bottom w:w="80" w:type="dxa"/>
              <w:end w:w="120" w:type="dxa"/>
            </w:tcMar>
            <w:shd w:fill="E8EEF5"/>
          </w:tcPr>
          <w:p>
            <w:pPr>
              <w:jc w:val="center"/>
            </w:pPr>
            <w:r>
              <w:rPr>
                <w:rFonts w:ascii="Calibri" w:hAnsi="Calibri"/>
                <w:b/>
                <w:i w:val="0"/>
                <w:color w:val="173A52"/>
                <w:sz w:val="20"/>
              </w:rPr>
              <w:t>Metastability</w:t>
            </w:r>
          </w:p>
        </w:tc>
        <w:tc>
          <w:tcPr>
            <w:tcW w:type="dxa" w:w="3260"/>
            <w:vAlign w:val="center"/>
            <w:tcMar>
              <w:top w:w="80" w:type="dxa"/>
              <w:start w:w="120" w:type="dxa"/>
              <w:bottom w:w="80" w:type="dxa"/>
              <w:end w:w="120" w:type="dxa"/>
            </w:tcMar>
            <w:shd w:fill="E8EEF5"/>
          </w:tcPr>
          <w:p>
            <w:pPr>
              <w:jc w:val="center"/>
            </w:pPr>
            <w:r>
              <w:rPr>
                <w:rFonts w:ascii="Calibri" w:hAnsi="Calibri"/>
                <w:b/>
                <w:i w:val="0"/>
                <w:color w:val="173A52"/>
                <w:sz w:val="20"/>
              </w:rPr>
              <w:t>Expected behavior</w:t>
            </w:r>
          </w:p>
        </w:tc>
      </w:tr>
      <w:tr>
        <w:tc>
          <w:tcPr>
            <w:tcW w:type="dxa" w:w="2600"/>
            <w:vAlign w:val="center"/>
            <w:tcMar>
              <w:top w:w="80" w:type="dxa"/>
              <w:start w:w="120" w:type="dxa"/>
              <w:bottom w:w="80" w:type="dxa"/>
              <w:end w:w="120" w:type="dxa"/>
            </w:tcMar>
          </w:tcPr>
          <w:p>
            <w:pPr>
              <w:jc w:val="left"/>
            </w:pPr>
            <w:r>
              <w:rPr>
                <w:rFonts w:ascii="Calibri" w:hAnsi="Calibri"/>
                <w:b w:val="0"/>
                <w:i w:val="0"/>
                <w:color w:val="1A1A1A"/>
                <w:sz w:val="20"/>
              </w:rPr>
              <w:t>Synchronized</w:t>
            </w:r>
          </w:p>
        </w:tc>
        <w:tc>
          <w:tcPr>
            <w:tcW w:type="dxa" w:w="1700"/>
            <w:vAlign w:val="center"/>
            <w:tcMar>
              <w:top w:w="80" w:type="dxa"/>
              <w:start w:w="120" w:type="dxa"/>
              <w:bottom w:w="80" w:type="dxa"/>
              <w:end w:w="120" w:type="dxa"/>
            </w:tcMar>
          </w:tcPr>
          <w:p>
            <w:pPr>
              <w:jc w:val="center"/>
            </w:pPr>
            <w:r>
              <w:rPr>
                <w:rFonts w:ascii="Calibri" w:hAnsi="Calibri"/>
                <w:b w:val="0"/>
                <w:i w:val="0"/>
                <w:color w:val="1A1A1A"/>
                <w:sz w:val="20"/>
              </w:rPr>
              <w:t>1.000</w:t>
            </w:r>
          </w:p>
        </w:tc>
        <w:tc>
          <w:tcPr>
            <w:tcW w:type="dxa" w:w="1800"/>
            <w:vAlign w:val="center"/>
            <w:tcMar>
              <w:top w:w="80" w:type="dxa"/>
              <w:start w:w="120" w:type="dxa"/>
              <w:bottom w:w="80" w:type="dxa"/>
              <w:end w:w="120" w:type="dxa"/>
            </w:tcMar>
          </w:tcPr>
          <w:p>
            <w:pPr>
              <w:jc w:val="center"/>
            </w:pPr>
            <w:r>
              <w:rPr>
                <w:rFonts w:ascii="Calibri" w:hAnsi="Calibri"/>
                <w:b w:val="0"/>
                <w:i w:val="0"/>
                <w:color w:val="1A1A1A"/>
                <w:sz w:val="20"/>
              </w:rPr>
              <w:t>≈ 0</w:t>
            </w:r>
          </w:p>
        </w:tc>
        <w:tc>
          <w:tcPr>
            <w:tcW w:type="dxa" w:w="3260"/>
            <w:vAlign w:val="center"/>
            <w:tcMar>
              <w:top w:w="80" w:type="dxa"/>
              <w:start w:w="120" w:type="dxa"/>
              <w:bottom w:w="80" w:type="dxa"/>
              <w:end w:w="120" w:type="dxa"/>
            </w:tcMar>
          </w:tcPr>
          <w:p>
            <w:pPr>
              <w:jc w:val="center"/>
            </w:pPr>
            <w:r>
              <w:rPr>
                <w:rFonts w:ascii="Calibri" w:hAnsi="Calibri"/>
                <w:b w:val="0"/>
                <w:i w:val="0"/>
                <w:color w:val="1A1A1A"/>
                <w:sz w:val="20"/>
              </w:rPr>
              <w:t>High, stable coordination</w:t>
            </w:r>
          </w:p>
        </w:tc>
      </w:tr>
      <w:tr>
        <w:tc>
          <w:tcPr>
            <w:tcW w:type="dxa" w:w="2600"/>
            <w:vAlign w:val="center"/>
            <w:tcMar>
              <w:top w:w="80" w:type="dxa"/>
              <w:start w:w="120" w:type="dxa"/>
              <w:bottom w:w="80" w:type="dxa"/>
              <w:end w:w="120" w:type="dxa"/>
            </w:tcMar>
          </w:tcPr>
          <w:p>
            <w:pPr>
              <w:jc w:val="left"/>
            </w:pPr>
            <w:r>
              <w:rPr>
                <w:rFonts w:ascii="Calibri" w:hAnsi="Calibri"/>
                <w:b w:val="0"/>
                <w:i w:val="0"/>
                <w:color w:val="1A1A1A"/>
                <w:sz w:val="20"/>
              </w:rPr>
              <w:t>Evenly dispersed</w:t>
            </w:r>
          </w:p>
        </w:tc>
        <w:tc>
          <w:tcPr>
            <w:tcW w:type="dxa" w:w="1700"/>
            <w:vAlign w:val="center"/>
            <w:tcMar>
              <w:top w:w="80" w:type="dxa"/>
              <w:start w:w="120" w:type="dxa"/>
              <w:bottom w:w="80" w:type="dxa"/>
              <w:end w:w="120" w:type="dxa"/>
            </w:tcMar>
          </w:tcPr>
          <w:p>
            <w:pPr>
              <w:jc w:val="center"/>
            </w:pPr>
            <w:r>
              <w:rPr>
                <w:rFonts w:ascii="Calibri" w:hAnsi="Calibri"/>
                <w:b w:val="0"/>
                <w:i w:val="0"/>
                <w:color w:val="1A1A1A"/>
                <w:sz w:val="20"/>
              </w:rPr>
              <w:t>≈ 0</w:t>
            </w:r>
          </w:p>
        </w:tc>
        <w:tc>
          <w:tcPr>
            <w:tcW w:type="dxa" w:w="1800"/>
            <w:vAlign w:val="center"/>
            <w:tcMar>
              <w:top w:w="80" w:type="dxa"/>
              <w:start w:w="120" w:type="dxa"/>
              <w:bottom w:w="80" w:type="dxa"/>
              <w:end w:w="120" w:type="dxa"/>
            </w:tcMar>
          </w:tcPr>
          <w:p>
            <w:pPr>
              <w:jc w:val="center"/>
            </w:pPr>
            <w:r>
              <w:rPr>
                <w:rFonts w:ascii="Calibri" w:hAnsi="Calibri"/>
                <w:b w:val="0"/>
                <w:i w:val="0"/>
                <w:color w:val="1A1A1A"/>
                <w:sz w:val="20"/>
              </w:rPr>
              <w:t>≈ 0</w:t>
            </w:r>
          </w:p>
        </w:tc>
        <w:tc>
          <w:tcPr>
            <w:tcW w:type="dxa" w:w="3260"/>
            <w:vAlign w:val="center"/>
            <w:tcMar>
              <w:top w:w="80" w:type="dxa"/>
              <w:start w:w="120" w:type="dxa"/>
              <w:bottom w:w="80" w:type="dxa"/>
              <w:end w:w="120" w:type="dxa"/>
            </w:tcMar>
          </w:tcPr>
          <w:p>
            <w:pPr>
              <w:jc w:val="center"/>
            </w:pPr>
            <w:r>
              <w:rPr>
                <w:rFonts w:ascii="Calibri" w:hAnsi="Calibri"/>
                <w:b w:val="0"/>
                <w:i w:val="0"/>
                <w:color w:val="1A1A1A"/>
                <w:sz w:val="20"/>
              </w:rPr>
              <w:t>Low, stable coordination</w:t>
            </w:r>
          </w:p>
        </w:tc>
      </w:tr>
      <w:tr>
        <w:tc>
          <w:tcPr>
            <w:tcW w:type="dxa" w:w="2600"/>
            <w:vAlign w:val="center"/>
            <w:tcMar>
              <w:top w:w="80" w:type="dxa"/>
              <w:start w:w="120" w:type="dxa"/>
              <w:bottom w:w="80" w:type="dxa"/>
              <w:end w:w="120" w:type="dxa"/>
            </w:tcMar>
          </w:tcPr>
          <w:p>
            <w:pPr>
              <w:jc w:val="left"/>
            </w:pPr>
            <w:r>
              <w:rPr>
                <w:rFonts w:ascii="Calibri" w:hAnsi="Calibri"/>
                <w:b w:val="0"/>
                <w:i w:val="0"/>
                <w:color w:val="1A1A1A"/>
                <w:sz w:val="20"/>
              </w:rPr>
              <w:t>Switching</w:t>
            </w:r>
          </w:p>
        </w:tc>
        <w:tc>
          <w:tcPr>
            <w:tcW w:type="dxa" w:w="1700"/>
            <w:vAlign w:val="center"/>
            <w:tcMar>
              <w:top w:w="80" w:type="dxa"/>
              <w:start w:w="120" w:type="dxa"/>
              <w:bottom w:w="80" w:type="dxa"/>
              <w:end w:w="120" w:type="dxa"/>
            </w:tcMar>
          </w:tcPr>
          <w:p>
            <w:pPr>
              <w:jc w:val="center"/>
            </w:pPr>
            <w:r>
              <w:rPr>
                <w:rFonts w:ascii="Calibri" w:hAnsi="Calibri"/>
                <w:b w:val="0"/>
                <w:i w:val="0"/>
                <w:color w:val="1A1A1A"/>
                <w:sz w:val="20"/>
              </w:rPr>
              <w:t>0.523</w:t>
            </w:r>
          </w:p>
        </w:tc>
        <w:tc>
          <w:tcPr>
            <w:tcW w:type="dxa" w:w="1800"/>
            <w:vAlign w:val="center"/>
            <w:tcMar>
              <w:top w:w="80" w:type="dxa"/>
              <w:start w:w="120" w:type="dxa"/>
              <w:bottom w:w="80" w:type="dxa"/>
              <w:end w:w="120" w:type="dxa"/>
            </w:tcMar>
          </w:tcPr>
          <w:p>
            <w:pPr>
              <w:jc w:val="center"/>
            </w:pPr>
            <w:r>
              <w:rPr>
                <w:rFonts w:ascii="Calibri" w:hAnsi="Calibri"/>
                <w:b w:val="0"/>
                <w:i w:val="0"/>
                <w:color w:val="1A1A1A"/>
                <w:sz w:val="20"/>
              </w:rPr>
              <w:t>0.376</w:t>
            </w:r>
          </w:p>
        </w:tc>
        <w:tc>
          <w:tcPr>
            <w:tcW w:type="dxa" w:w="3260"/>
            <w:vAlign w:val="center"/>
            <w:tcMar>
              <w:top w:w="80" w:type="dxa"/>
              <w:start w:w="120" w:type="dxa"/>
              <w:bottom w:w="80" w:type="dxa"/>
              <w:end w:w="120" w:type="dxa"/>
            </w:tcMar>
          </w:tcPr>
          <w:p>
            <w:pPr>
              <w:jc w:val="center"/>
            </w:pPr>
            <w:r>
              <w:rPr>
                <w:rFonts w:ascii="Calibri" w:hAnsi="Calibri"/>
                <w:b w:val="0"/>
                <w:i w:val="0"/>
                <w:color w:val="1A1A1A"/>
                <w:sz w:val="20"/>
              </w:rPr>
              <w:t>Alternates between aligned and dispersed states</w:t>
            </w:r>
          </w:p>
        </w:tc>
      </w:tr>
      <w:tr>
        <w:tc>
          <w:tcPr>
            <w:tcW w:type="dxa" w:w="2600"/>
            <w:vAlign w:val="center"/>
            <w:tcMar>
              <w:top w:w="80" w:type="dxa"/>
              <w:start w:w="120" w:type="dxa"/>
              <w:bottom w:w="80" w:type="dxa"/>
              <w:end w:w="120" w:type="dxa"/>
            </w:tcMar>
          </w:tcPr>
          <w:p>
            <w:pPr>
              <w:jc w:val="left"/>
            </w:pPr>
            <w:r>
              <w:rPr>
                <w:rFonts w:ascii="Calibri" w:hAnsi="Calibri"/>
                <w:b w:val="0"/>
                <w:i w:val="0"/>
                <w:color w:val="1A1A1A"/>
                <w:sz w:val="20"/>
              </w:rPr>
              <w:t>Random phase</w:t>
            </w:r>
          </w:p>
        </w:tc>
        <w:tc>
          <w:tcPr>
            <w:tcW w:type="dxa" w:w="1700"/>
            <w:vAlign w:val="center"/>
            <w:tcMar>
              <w:top w:w="80" w:type="dxa"/>
              <w:start w:w="120" w:type="dxa"/>
              <w:bottom w:w="80" w:type="dxa"/>
              <w:end w:w="120" w:type="dxa"/>
            </w:tcMar>
          </w:tcPr>
          <w:p>
            <w:pPr>
              <w:jc w:val="center"/>
            </w:pPr>
            <w:r>
              <w:rPr>
                <w:rFonts w:ascii="Calibri" w:hAnsi="Calibri"/>
                <w:b w:val="0"/>
                <w:i w:val="0"/>
                <w:color w:val="1A1A1A"/>
                <w:sz w:val="20"/>
              </w:rPr>
              <w:t>0.086</w:t>
            </w:r>
          </w:p>
        </w:tc>
        <w:tc>
          <w:tcPr>
            <w:tcW w:type="dxa" w:w="1800"/>
            <w:vAlign w:val="center"/>
            <w:tcMar>
              <w:top w:w="80" w:type="dxa"/>
              <w:start w:w="120" w:type="dxa"/>
              <w:bottom w:w="80" w:type="dxa"/>
              <w:end w:w="120" w:type="dxa"/>
            </w:tcMar>
          </w:tcPr>
          <w:p>
            <w:pPr>
              <w:jc w:val="center"/>
            </w:pPr>
            <w:r>
              <w:rPr>
                <w:rFonts w:ascii="Calibri" w:hAnsi="Calibri"/>
                <w:b w:val="0"/>
                <w:i w:val="0"/>
                <w:color w:val="1A1A1A"/>
                <w:sz w:val="20"/>
              </w:rPr>
              <w:t>0.044</w:t>
            </w:r>
          </w:p>
        </w:tc>
        <w:tc>
          <w:tcPr>
            <w:tcW w:type="dxa" w:w="3260"/>
            <w:vAlign w:val="center"/>
            <w:tcMar>
              <w:top w:w="80" w:type="dxa"/>
              <w:start w:w="120" w:type="dxa"/>
              <w:bottom w:w="80" w:type="dxa"/>
              <w:end w:w="120" w:type="dxa"/>
            </w:tcMar>
          </w:tcPr>
          <w:p>
            <w:pPr>
              <w:jc w:val="center"/>
            </w:pPr>
            <w:r>
              <w:rPr>
                <w:rFonts w:ascii="Calibri" w:hAnsi="Calibri"/>
                <w:b w:val="0"/>
                <w:i w:val="0"/>
                <w:color w:val="1A1A1A"/>
                <w:sz w:val="20"/>
              </w:rPr>
              <w:t>Low, irregular coordination</w:t>
            </w:r>
          </w:p>
        </w:tc>
      </w:tr>
    </w:tbl>
    <w:p>
      <w:pPr>
        <w:spacing w:after="60"/>
      </w:pPr>
    </w:p>
    <w:p>
      <w:pPr>
        <w:keepLines/>
        <w:spacing w:before="0" w:after="120" w:line="264" w:lineRule="auto"/>
      </w:pPr>
      <w:r>
        <w:rPr>
          <w:rFonts w:ascii="Calibri" w:hAnsi="Calibri"/>
          <w:b w:val="0"/>
          <w:i w:val="0"/>
          <w:color w:val="1A1A1A"/>
          <w:sz w:val="22"/>
        </w:rPr>
        <w:t>All seven predefined validation gates passed, including exact known-phase checks, recovery of a known sinusoidal phase offset and detection of high metastability in the switching regime. All 18 project tests passed. The measuring instrument therefore behaves correctly on these controlled synthetic cases.</w:t>
      </w:r>
    </w:p>
    <w:p>
      <w:pPr>
        <w:keepNext/>
        <w:jc w:val="center"/>
      </w:pPr>
      <w:r>
        <w:drawing>
          <wp:inline xmlns:a="http://schemas.openxmlformats.org/drawingml/2006/main" xmlns:pic="http://schemas.openxmlformats.org/drawingml/2006/picture">
            <wp:extent cx="5669280" cy="2455200"/>
            <wp:docPr id="5" name="Picture 5"/>
            <wp:cNvGraphicFramePr>
              <a:graphicFrameLocks noChangeAspect="1"/>
            </wp:cNvGraphicFramePr>
            <a:graphic>
              <a:graphicData uri="http://schemas.openxmlformats.org/drawingml/2006/picture">
                <pic:pic>
                  <pic:nvPicPr>
                    <pic:cNvPr id="0" name="phase_dynamics_validation.png"/>
                    <pic:cNvPicPr/>
                  </pic:nvPicPr>
                  <pic:blipFill>
                    <a:blip r:embed="rId15"/>
                    <a:stretch>
                      <a:fillRect/>
                    </a:stretch>
                  </pic:blipFill>
                  <pic:spPr>
                    <a:xfrm>
                      <a:off x="0" y="0"/>
                      <a:ext cx="5669280" cy="2455200"/>
                    </a:xfrm>
                    <a:prstGeom prst="rect"/>
                  </pic:spPr>
                </pic:pic>
              </a:graphicData>
            </a:graphic>
          </wp:inline>
        </w:drawing>
      </w:r>
    </w:p>
    <w:p>
      <w:pPr>
        <w:spacing w:before="60" w:after="160"/>
        <w:jc w:val="center"/>
      </w:pPr>
      <w:r>
        <w:rPr>
          <w:rFonts w:ascii="Calibri" w:hAnsi="Calibri"/>
          <w:b w:val="0"/>
          <w:i/>
          <w:color w:val="68717A"/>
          <w:sz w:val="18"/>
        </w:rPr>
        <w:t>Figure 5. Phase-dynamics measurement validation on four synthetic coordination regimes.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2F4F7"/>
          </w:tcPr>
          <w:p>
            <w:pPr>
              <w:spacing w:after="40"/>
            </w:pPr>
            <w:r>
              <w:rPr>
                <w:rFonts w:ascii="Calibri" w:hAnsi="Calibri"/>
                <w:b/>
                <w:i w:val="0"/>
                <w:color w:val="173A52"/>
                <w:sz w:val="22"/>
              </w:rPr>
              <w:t xml:space="preserve">Next methodological decision: </w:t>
            </w:r>
            <w:r>
              <w:rPr>
                <w:rFonts w:ascii="Calibri" w:hAnsi="Calibri"/>
                <w:b w:val="0"/>
                <w:i w:val="0"/>
                <w:color w:val="1A1A1A"/>
                <w:sz w:val="22"/>
              </w:rPr>
              <w:t>Before applying the instrument to BOLD data, define and verify the narrow-band filtering range and Hilbert-transform boundary trimming. Instantaneous phase is interpretable only for appropriately narrow-band signals.</w:t>
            </w:r>
          </w:p>
        </w:tc>
      </w:tr>
    </w:tbl>
    <w:p>
      <w:pPr>
        <w:spacing w:after="40"/>
      </w:pPr>
    </w:p>
    <w:p>
      <w:pPr>
        <w:pStyle w:val="Heading2"/>
        <w:keepNext/>
      </w:pPr>
      <w:r>
        <w:t>8.2 Empirical and frozen-model phase dynamics</w:t>
      </w:r>
    </w:p>
    <w:p>
      <w:pPr>
        <w:keepLines/>
        <w:spacing w:before="0" w:after="120" w:line="264" w:lineRule="auto"/>
      </w:pPr>
      <w:r>
        <w:rPr>
          <w:rFonts w:ascii="Calibri" w:hAnsi="Calibri"/>
          <w:b w:val="0"/>
          <w:i w:val="0"/>
          <w:color w:val="1A1A1A"/>
          <w:sz w:val="22"/>
        </w:rPr>
        <w:t>The paper and released code specify a second-order Butterworth human BOLD bandpass of 0.008–0.09 Hz. The identical detrending, zero-phase filtering, Hilbert phase extraction and Kuramoto analysis were applied to the empirical BOLD and to frozen cooperative-only and signed simulations across 30 matched noise seeds.</w:t>
      </w:r>
    </w:p>
    <w:tbl>
      <w:tblPr>
        <w:tblStyle w:val="TableGrid"/>
        <w:tblW w:type="dxa" w:w="9360"/>
        <w:tblLayout w:type="fixed"/>
        <w:tblLook w:firstColumn="1" w:firstRow="1" w:lastColumn="0" w:lastRow="0" w:noHBand="0" w:noVBand="1" w:val="04A0"/>
        <w:jc w:val="left"/>
        <w:tblInd w:w="120" w:type="dxa"/>
      </w:tblPr>
      <w:tblGrid>
        <w:gridCol w:w="3000"/>
        <w:gridCol w:w="1900"/>
        <w:gridCol w:w="2100"/>
        <w:gridCol w:w="2360"/>
      </w:tblGrid>
      <w:tr>
        <w:tc>
          <w:tcPr>
            <w:tcW w:type="dxa" w:w="3000"/>
            <w:vAlign w:val="center"/>
            <w:tcMar>
              <w:top w:w="80" w:type="dxa"/>
              <w:start w:w="120" w:type="dxa"/>
              <w:bottom w:w="80" w:type="dxa"/>
              <w:end w:w="120" w:type="dxa"/>
            </w:tcMar>
            <w:shd w:fill="E8EEF5"/>
          </w:tcPr>
          <w:p>
            <w:pPr>
              <w:jc w:val="center"/>
            </w:pPr>
            <w:r>
              <w:rPr>
                <w:rFonts w:ascii="Calibri" w:hAnsi="Calibri"/>
                <w:b/>
                <w:i w:val="0"/>
                <w:color w:val="173A52"/>
                <w:sz w:val="20"/>
              </w:rPr>
              <w:t>Signal</w:t>
            </w:r>
          </w:p>
        </w:tc>
        <w:tc>
          <w:tcPr>
            <w:tcW w:type="dxa" w:w="1900"/>
            <w:vAlign w:val="center"/>
            <w:tcMar>
              <w:top w:w="80" w:type="dxa"/>
              <w:start w:w="120" w:type="dxa"/>
              <w:bottom w:w="80" w:type="dxa"/>
              <w:end w:w="120" w:type="dxa"/>
            </w:tcMar>
            <w:shd w:fill="E8EEF5"/>
          </w:tcPr>
          <w:p>
            <w:pPr>
              <w:jc w:val="center"/>
            </w:pPr>
            <w:r>
              <w:rPr>
                <w:rFonts w:ascii="Calibri" w:hAnsi="Calibri"/>
                <w:b/>
                <w:i w:val="0"/>
                <w:color w:val="173A52"/>
                <w:sz w:val="20"/>
              </w:rPr>
              <w:t>Mean KOP</w:t>
            </w:r>
          </w:p>
        </w:tc>
        <w:tc>
          <w:tcPr>
            <w:tcW w:type="dxa" w:w="2100"/>
            <w:vAlign w:val="center"/>
            <w:tcMar>
              <w:top w:w="80" w:type="dxa"/>
              <w:start w:w="120" w:type="dxa"/>
              <w:bottom w:w="80" w:type="dxa"/>
              <w:end w:w="120" w:type="dxa"/>
            </w:tcMar>
            <w:shd w:fill="E8EEF5"/>
          </w:tcPr>
          <w:p>
            <w:pPr>
              <w:jc w:val="center"/>
            </w:pPr>
            <w:r>
              <w:rPr>
                <w:rFonts w:ascii="Calibri" w:hAnsi="Calibri"/>
                <w:b/>
                <w:i w:val="0"/>
                <w:color w:val="173A52"/>
                <w:sz w:val="20"/>
              </w:rPr>
              <w:t>Maximum KOP</w:t>
            </w:r>
          </w:p>
        </w:tc>
        <w:tc>
          <w:tcPr>
            <w:tcW w:type="dxa" w:w="2360"/>
            <w:vAlign w:val="center"/>
            <w:tcMar>
              <w:top w:w="80" w:type="dxa"/>
              <w:start w:w="120" w:type="dxa"/>
              <w:bottom w:w="80" w:type="dxa"/>
              <w:end w:w="120" w:type="dxa"/>
            </w:tcMar>
            <w:shd w:fill="E8EEF5"/>
          </w:tcPr>
          <w:p>
            <w:pPr>
              <w:jc w:val="center"/>
            </w:pPr>
            <w:r>
              <w:rPr>
                <w:rFonts w:ascii="Calibri" w:hAnsi="Calibri"/>
                <w:b/>
                <w:i w:val="0"/>
                <w:color w:val="173A52"/>
                <w:sz w:val="20"/>
              </w:rPr>
              <w:t>Metastability: SD(KOP)</w:t>
            </w:r>
          </w:p>
        </w:tc>
      </w:tr>
      <w:tr>
        <w:tc>
          <w:tcPr>
            <w:tcW w:type="dxa" w:w="3000"/>
            <w:vAlign w:val="center"/>
            <w:tcMar>
              <w:top w:w="80" w:type="dxa"/>
              <w:start w:w="120" w:type="dxa"/>
              <w:bottom w:w="80" w:type="dxa"/>
              <w:end w:w="120" w:type="dxa"/>
            </w:tcMar>
          </w:tcPr>
          <w:p>
            <w:pPr>
              <w:jc w:val="left"/>
            </w:pPr>
            <w:r>
              <w:rPr>
                <w:rFonts w:ascii="Calibri" w:hAnsi="Calibri"/>
                <w:b w:val="0"/>
                <w:i w:val="0"/>
                <w:color w:val="1A1A1A"/>
                <w:sz w:val="20"/>
              </w:rPr>
              <w:t>Empirical BOLD</w:t>
            </w:r>
          </w:p>
        </w:tc>
        <w:tc>
          <w:tcPr>
            <w:tcW w:type="dxa" w:w="1900"/>
            <w:vAlign w:val="center"/>
            <w:tcMar>
              <w:top w:w="80" w:type="dxa"/>
              <w:start w:w="120" w:type="dxa"/>
              <w:bottom w:w="80" w:type="dxa"/>
              <w:end w:w="120" w:type="dxa"/>
            </w:tcMar>
          </w:tcPr>
          <w:p>
            <w:pPr>
              <w:jc w:val="center"/>
            </w:pPr>
            <w:r>
              <w:rPr>
                <w:rFonts w:ascii="Calibri" w:hAnsi="Calibri"/>
                <w:b w:val="0"/>
                <w:i w:val="0"/>
                <w:color w:val="1A1A1A"/>
                <w:sz w:val="20"/>
              </w:rPr>
              <w:t>0.279</w:t>
            </w:r>
          </w:p>
        </w:tc>
        <w:tc>
          <w:tcPr>
            <w:tcW w:type="dxa" w:w="2100"/>
            <w:vAlign w:val="center"/>
            <w:tcMar>
              <w:top w:w="80" w:type="dxa"/>
              <w:start w:w="120" w:type="dxa"/>
              <w:bottom w:w="80" w:type="dxa"/>
              <w:end w:w="120" w:type="dxa"/>
            </w:tcMar>
          </w:tcPr>
          <w:p>
            <w:pPr>
              <w:jc w:val="center"/>
            </w:pPr>
            <w:r>
              <w:rPr>
                <w:rFonts w:ascii="Calibri" w:hAnsi="Calibri"/>
                <w:b w:val="0"/>
                <w:i w:val="0"/>
                <w:color w:val="1A1A1A"/>
                <w:sz w:val="20"/>
              </w:rPr>
              <w:t>0.704</w:t>
            </w:r>
          </w:p>
        </w:tc>
        <w:tc>
          <w:tcPr>
            <w:tcW w:type="dxa" w:w="2360"/>
            <w:vAlign w:val="center"/>
            <w:tcMar>
              <w:top w:w="80" w:type="dxa"/>
              <w:start w:w="120" w:type="dxa"/>
              <w:bottom w:w="80" w:type="dxa"/>
              <w:end w:w="120" w:type="dxa"/>
            </w:tcMar>
          </w:tcPr>
          <w:p>
            <w:pPr>
              <w:jc w:val="center"/>
            </w:pPr>
            <w:r>
              <w:rPr>
                <w:rFonts w:ascii="Calibri" w:hAnsi="Calibri"/>
                <w:b w:val="0"/>
                <w:i w:val="0"/>
                <w:color w:val="1A1A1A"/>
                <w:sz w:val="20"/>
              </w:rPr>
              <w:t>0.138</w:t>
            </w:r>
          </w:p>
        </w:tc>
      </w:tr>
      <w:tr>
        <w:tc>
          <w:tcPr>
            <w:tcW w:type="dxa" w:w="3000"/>
            <w:vAlign w:val="center"/>
            <w:tcMar>
              <w:top w:w="80" w:type="dxa"/>
              <w:start w:w="120" w:type="dxa"/>
              <w:bottom w:w="80" w:type="dxa"/>
              <w:end w:w="120" w:type="dxa"/>
            </w:tcMar>
          </w:tcPr>
          <w:p>
            <w:pPr>
              <w:jc w:val="left"/>
            </w:pPr>
            <w:r>
              <w:rPr>
                <w:rFonts w:ascii="Calibri" w:hAnsi="Calibri"/>
                <w:b w:val="0"/>
                <w:i w:val="0"/>
                <w:color w:val="1A1A1A"/>
                <w:sz w:val="20"/>
              </w:rPr>
              <w:t>Cooperative-only mean</w:t>
            </w:r>
          </w:p>
        </w:tc>
        <w:tc>
          <w:tcPr>
            <w:tcW w:type="dxa" w:w="1900"/>
            <w:vAlign w:val="center"/>
            <w:tcMar>
              <w:top w:w="80" w:type="dxa"/>
              <w:start w:w="120" w:type="dxa"/>
              <w:bottom w:w="80" w:type="dxa"/>
              <w:end w:w="120" w:type="dxa"/>
            </w:tcMar>
          </w:tcPr>
          <w:p>
            <w:pPr>
              <w:jc w:val="center"/>
            </w:pPr>
            <w:r>
              <w:rPr>
                <w:rFonts w:ascii="Calibri" w:hAnsi="Calibri"/>
                <w:b w:val="0"/>
                <w:i w:val="0"/>
                <w:color w:val="1A1A1A"/>
                <w:sz w:val="20"/>
              </w:rPr>
              <w:t>0.395</w:t>
            </w:r>
          </w:p>
        </w:tc>
        <w:tc>
          <w:tcPr>
            <w:tcW w:type="dxa" w:w="2100"/>
            <w:vAlign w:val="center"/>
            <w:tcMar>
              <w:top w:w="80" w:type="dxa"/>
              <w:start w:w="120" w:type="dxa"/>
              <w:bottom w:w="80" w:type="dxa"/>
              <w:end w:w="120" w:type="dxa"/>
            </w:tcMar>
          </w:tcPr>
          <w:p>
            <w:pPr>
              <w:jc w:val="center"/>
            </w:pPr>
            <w:r>
              <w:rPr>
                <w:rFonts w:ascii="Calibri" w:hAnsi="Calibri"/>
                <w:b w:val="0"/>
                <w:i w:val="0"/>
                <w:color w:val="1A1A1A"/>
                <w:sz w:val="20"/>
              </w:rPr>
              <w:t>0.775</w:t>
            </w:r>
          </w:p>
        </w:tc>
        <w:tc>
          <w:tcPr>
            <w:tcW w:type="dxa" w:w="2360"/>
            <w:vAlign w:val="center"/>
            <w:tcMar>
              <w:top w:w="80" w:type="dxa"/>
              <w:start w:w="120" w:type="dxa"/>
              <w:bottom w:w="80" w:type="dxa"/>
              <w:end w:w="120" w:type="dxa"/>
            </w:tcMar>
          </w:tcPr>
          <w:p>
            <w:pPr>
              <w:jc w:val="center"/>
            </w:pPr>
            <w:r>
              <w:rPr>
                <w:rFonts w:ascii="Calibri" w:hAnsi="Calibri"/>
                <w:b w:val="0"/>
                <w:i w:val="0"/>
                <w:color w:val="1A1A1A"/>
                <w:sz w:val="20"/>
              </w:rPr>
              <w:t>0.170</w:t>
            </w:r>
          </w:p>
        </w:tc>
      </w:tr>
      <w:tr>
        <w:tc>
          <w:tcPr>
            <w:tcW w:type="dxa" w:w="3000"/>
            <w:vAlign w:val="center"/>
            <w:tcMar>
              <w:top w:w="80" w:type="dxa"/>
              <w:start w:w="120" w:type="dxa"/>
              <w:bottom w:w="80" w:type="dxa"/>
              <w:end w:w="120" w:type="dxa"/>
            </w:tcMar>
          </w:tcPr>
          <w:p>
            <w:pPr>
              <w:jc w:val="left"/>
            </w:pPr>
            <w:r>
              <w:rPr>
                <w:rFonts w:ascii="Calibri" w:hAnsi="Calibri"/>
                <w:b w:val="0"/>
                <w:i w:val="0"/>
                <w:color w:val="1A1A1A"/>
                <w:sz w:val="20"/>
              </w:rPr>
              <w:t>Signed mean</w:t>
            </w:r>
          </w:p>
        </w:tc>
        <w:tc>
          <w:tcPr>
            <w:tcW w:type="dxa" w:w="1900"/>
            <w:vAlign w:val="center"/>
            <w:tcMar>
              <w:top w:w="80" w:type="dxa"/>
              <w:start w:w="120" w:type="dxa"/>
              <w:bottom w:w="80" w:type="dxa"/>
              <w:end w:w="120" w:type="dxa"/>
            </w:tcMar>
          </w:tcPr>
          <w:p>
            <w:pPr>
              <w:jc w:val="center"/>
            </w:pPr>
            <w:r>
              <w:rPr>
                <w:rFonts w:ascii="Calibri" w:hAnsi="Calibri"/>
                <w:b w:val="0"/>
                <w:i w:val="0"/>
                <w:color w:val="1A1A1A"/>
                <w:sz w:val="20"/>
              </w:rPr>
              <w:t>0.302</w:t>
            </w:r>
          </w:p>
        </w:tc>
        <w:tc>
          <w:tcPr>
            <w:tcW w:type="dxa" w:w="2100"/>
            <w:vAlign w:val="center"/>
            <w:tcMar>
              <w:top w:w="80" w:type="dxa"/>
              <w:start w:w="120" w:type="dxa"/>
              <w:bottom w:w="80" w:type="dxa"/>
              <w:end w:w="120" w:type="dxa"/>
            </w:tcMar>
          </w:tcPr>
          <w:p>
            <w:pPr>
              <w:jc w:val="center"/>
            </w:pPr>
            <w:r>
              <w:rPr>
                <w:rFonts w:ascii="Calibri" w:hAnsi="Calibri"/>
                <w:b w:val="0"/>
                <w:i w:val="0"/>
                <w:color w:val="1A1A1A"/>
                <w:sz w:val="20"/>
              </w:rPr>
              <w:t>0.655</w:t>
            </w:r>
          </w:p>
        </w:tc>
        <w:tc>
          <w:tcPr>
            <w:tcW w:type="dxa" w:w="2360"/>
            <w:vAlign w:val="center"/>
            <w:tcMar>
              <w:top w:w="80" w:type="dxa"/>
              <w:start w:w="120" w:type="dxa"/>
              <w:bottom w:w="80" w:type="dxa"/>
              <w:end w:w="120" w:type="dxa"/>
            </w:tcMar>
          </w:tcPr>
          <w:p>
            <w:pPr>
              <w:jc w:val="center"/>
            </w:pPr>
            <w:r>
              <w:rPr>
                <w:rFonts w:ascii="Calibri" w:hAnsi="Calibri"/>
                <w:b w:val="0"/>
                <w:i w:val="0"/>
                <w:color w:val="1A1A1A"/>
                <w:sz w:val="20"/>
              </w:rPr>
              <w:t>0.141</w:t>
            </w:r>
          </w:p>
        </w:tc>
      </w:tr>
    </w:tbl>
    <w:p>
      <w:pPr>
        <w:spacing w:after="60"/>
      </w:pPr>
    </w:p>
    <w:p>
      <w:pPr>
        <w:keepLines/>
        <w:spacing w:before="0" w:after="120" w:line="264" w:lineRule="auto"/>
      </w:pPr>
      <w:r>
        <w:rPr>
          <w:rFonts w:ascii="Calibri" w:hAnsi="Calibri"/>
          <w:b w:val="0"/>
          <w:i w:val="0"/>
          <w:color w:val="1A1A1A"/>
          <w:sz w:val="22"/>
        </w:rPr>
        <w:t>The signed model was closer to empirical mean synchrony in 30/30 matched seeds and closer in metastability in 25/30 seeds. The cooperative-only model was excessively coordinated on average and showed excessive variability in coordination. Competitive interactions moderated both quantities toward the empirical values.</w:t>
      </w:r>
    </w:p>
    <w:p>
      <w:pPr>
        <w:keepLines/>
        <w:spacing w:before="0" w:after="120" w:line="264" w:lineRule="auto"/>
      </w:pPr>
      <w:r>
        <w:rPr>
          <w:rFonts w:ascii="Calibri" w:hAnsi="Calibri"/>
          <w:b w:val="0"/>
          <w:i w:val="0"/>
          <w:color w:val="1A1A1A"/>
          <w:sz w:val="22"/>
        </w:rPr>
        <w:t>Maximum synchrony was less decisive: the signed model was closer for 16/30 seeds and tended to undershoot the empirical maximum, whereas the cooperative-only model tended to overshoot it. Thus, the signed model more clearly improves mean coordination and metastability than the most extreme synchronization event.</w:t>
      </w:r>
    </w:p>
    <w:p>
      <w:pPr>
        <w:keepNext/>
        <w:jc w:val="center"/>
      </w:pPr>
      <w:r>
        <w:drawing>
          <wp:inline xmlns:a="http://schemas.openxmlformats.org/drawingml/2006/main" xmlns:pic="http://schemas.openxmlformats.org/drawingml/2006/picture">
            <wp:extent cx="5669280" cy="1994246"/>
            <wp:docPr id="6" name="Picture 6"/>
            <wp:cNvGraphicFramePr>
              <a:graphicFrameLocks noChangeAspect="1"/>
            </wp:cNvGraphicFramePr>
            <a:graphic>
              <a:graphicData uri="http://schemas.openxmlformats.org/drawingml/2006/picture">
                <pic:pic>
                  <pic:nvPicPr>
                    <pic:cNvPr id="0" name="empirical_phase_dynamics.png"/>
                    <pic:cNvPicPr/>
                  </pic:nvPicPr>
                  <pic:blipFill>
                    <a:blip r:embed="rId16"/>
                    <a:stretch>
                      <a:fillRect/>
                    </a:stretch>
                  </pic:blipFill>
                  <pic:spPr>
                    <a:xfrm>
                      <a:off x="0" y="0"/>
                      <a:ext cx="5669280" cy="1994246"/>
                    </a:xfrm>
                    <a:prstGeom prst="rect"/>
                  </pic:spPr>
                </pic:pic>
              </a:graphicData>
            </a:graphic>
          </wp:inline>
        </w:drawing>
      </w:r>
    </w:p>
    <w:p>
      <w:pPr>
        <w:spacing w:before="60" w:after="160"/>
        <w:jc w:val="center"/>
      </w:pPr>
      <w:r>
        <w:rPr>
          <w:rFonts w:ascii="Calibri" w:hAnsi="Calibri"/>
          <w:b w:val="0"/>
          <w:i/>
          <w:color w:val="68717A"/>
          <w:sz w:val="18"/>
        </w:rPr>
        <w:t>Figure 6. Empirical KOP time series and frozen-model metastability and maximum-synchrony distributions across 30 matched seeds.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2F4F7"/>
          </w:tcPr>
          <w:p>
            <w:pPr>
              <w:spacing w:after="40"/>
            </w:pPr>
            <w:r>
              <w:rPr>
                <w:rFonts w:ascii="Calibri" w:hAnsi="Calibri"/>
                <w:b/>
                <w:i w:val="0"/>
                <w:color w:val="173A52"/>
                <w:sz w:val="22"/>
              </w:rPr>
              <w:t xml:space="preserve">Boundary sensitivity: </w:t>
            </w:r>
            <w:r>
              <w:rPr>
                <w:rFonts w:ascii="Calibri" w:hAnsi="Calibri"/>
                <w:b w:val="0"/>
                <w:i w:val="0"/>
                <w:color w:val="1A1A1A"/>
                <w:sz w:val="22"/>
              </w:rPr>
              <w:t>The qualitative conclusion was unchanged when excluding 0, 20, 50 or 100 samples from each edge. The primary analysis uses no trimming because the paper does not report it; the alternate trims serve as sensitivity checks.</w:t>
            </w:r>
          </w:p>
        </w:tc>
      </w:tr>
    </w:tbl>
    <w:p>
      <w:pPr>
        <w:spacing w:after="40"/>
      </w:pPr>
    </w:p>
    <w:p>
      <w:pPr>
        <w:pStyle w:val="Heading2"/>
        <w:keepNext/>
      </w:pPr>
      <w:r>
        <w:t>8.3 From discrete states to a continuous landscape</w:t>
      </w:r>
    </w:p>
    <w:p>
      <w:pPr>
        <w:keepLines/>
        <w:spacing w:before="0" w:after="120" w:line="264" w:lineRule="auto"/>
      </w:pPr>
      <w:r>
        <w:rPr>
          <w:rFonts w:ascii="Calibri" w:hAnsi="Calibri"/>
          <w:b w:val="0"/>
          <w:i w:val="0"/>
          <w:color w:val="1A1A1A"/>
          <w:sz w:val="22"/>
        </w:rPr>
        <w:t>Windowed-FC k-means was first validated on synthetic signals and stress-tested across 768 combinations of noise, state duration and window size. Although it recovered clear synthetic states within known operating bounds, empirical solutions did not identify one uniquely stable number of states. Projective LEiDA corrected the arbitrary eigenvector-sign ambiguity, but no empirical two- to ten-state solution passed every strict stability gate. Discrete states were therefore retained as descriptive summaries rather than treated as ground truth.</w:t>
      </w:r>
    </w:p>
    <w:p>
      <w:pPr>
        <w:keepLines/>
        <w:spacing w:before="0" w:after="120" w:line="264" w:lineRule="auto"/>
      </w:pPr>
      <w:r>
        <w:rPr>
          <w:rFonts w:ascii="Calibri" w:hAnsi="Calibri"/>
          <w:b w:val="0"/>
          <w:i w:val="0"/>
          <w:color w:val="1A1A1A"/>
          <w:sz w:val="22"/>
        </w:rPr>
        <w:t>A continuous LEiDA representation became the primary instrument. It quantifies repertoire dispersion, effective dimension, distance from the central axis, movement speed, speed variability and nonlocal recurrence without forcing every time point into a hard state. Synthetic fixed, switching, circular and wandering trajectories passed all six predefined validation gates.</w:t>
      </w:r>
    </w:p>
    <w:p>
      <w:pPr>
        <w:keepLines/>
        <w:spacing w:before="0" w:after="120" w:line="264" w:lineRule="auto"/>
      </w:pPr>
      <w:r>
        <w:rPr>
          <w:rFonts w:ascii="Calibri" w:hAnsi="Calibri"/>
          <w:b w:val="0"/>
          <w:i w:val="0"/>
          <w:color w:val="1A1A1A"/>
          <w:sz w:val="22"/>
        </w:rPr>
        <w:t>Across 30 frozen simulations, the signed model was more often closer to empirical dispersion (27/30), effective dimension (28/30) and central distance (30/30). The cooperative-only model was more often closer in mean speed (22/30) and speed variability (19/30). This motivated a provisional distinction between the accessible landscape and movement through it.</w:t>
      </w:r>
    </w:p>
    <w:p>
      <w:pPr>
        <w:pStyle w:val="Heading2"/>
        <w:keepNext/>
      </w:pPr>
      <w:r>
        <w:t>8.4 Cooperative–competitive gain landscape</w:t>
      </w:r>
    </w:p>
    <w:p>
      <w:pPr>
        <w:keepLines/>
        <w:spacing w:before="0" w:after="120" w:line="264" w:lineRule="auto"/>
      </w:pPr>
      <w:r>
        <w:rPr>
          <w:rFonts w:ascii="Calibri" w:hAnsi="Calibri"/>
          <w:b w:val="0"/>
          <w:i w:val="0"/>
          <w:color w:val="1A1A1A"/>
          <w:sz w:val="22"/>
        </w:rPr>
        <w:t>Cooperative and competitive weights were separated while preserving their fitted anatomical placement, then multiplied by independent gains. Competition alone collapsed the repertoire, while removing competition from the signed solution yielded incomplete static and dynamical reproduction. Balanced gain was non-monotonic: low gain produced excessive effective dimension, the original gain approached empirical geometry and high gain compressed the landscape.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2F4F7"/>
          </w:tcPr>
          <w:p>
            <w:pPr>
              <w:spacing w:after="40"/>
            </w:pPr>
            <w:r>
              <w:rPr>
                <w:rFonts w:ascii="Calibri" w:hAnsi="Calibri"/>
                <w:b/>
                <w:i w:val="0"/>
                <w:color w:val="173A52"/>
                <w:sz w:val="22"/>
              </w:rPr>
              <w:t xml:space="preserve">Static and dynamic objectives diverge: </w:t>
            </w:r>
            <w:r>
              <w:rPr>
                <w:rFonts w:ascii="Calibri" w:hAnsi="Calibri"/>
                <w:b w:val="0"/>
                <w:i w:val="0"/>
                <w:color w:val="1A1A1A"/>
                <w:sz w:val="22"/>
              </w:rPr>
              <w:t>The highest tested balanced gain produced the strongest static FC fit but poorer landscape geometry. A single FC objective therefore cannot establish overall dynamical realism.</w:t>
            </w:r>
          </w:p>
        </w:tc>
      </w:tr>
    </w:tbl>
    <w:p>
      <w:pPr>
        <w:spacing w:after="40"/>
      </w:pPr>
    </w:p>
    <w:p>
      <w:r>
        <w:br w:type="page"/>
      </w:r>
    </w:p>
    <w:p>
      <w:pPr>
        <w:pStyle w:val="Heading2"/>
        <w:keepNext/>
      </w:pPr>
      <w:r>
        <w:t>8.5 Noise and bifurcation: independent confirmation</w:t>
      </w:r>
    </w:p>
    <w:p>
      <w:pPr>
        <w:keepLines/>
        <w:spacing w:before="0" w:after="120" w:line="264" w:lineRule="auto"/>
      </w:pPr>
      <w:r>
        <w:rPr>
          <w:rFonts w:ascii="Calibri" w:hAnsi="Calibri"/>
          <w:b w:val="0"/>
          <w:i w:val="0"/>
          <w:color w:val="1A1A1A"/>
          <w:sz w:val="22"/>
        </w:rPr>
        <w:t>The signed connectivity and sign gains were frozen. A coarse sweep showed little sensitivity to noise over the tested range but strong, coupled effects of the Hopf bifurcation parameter. An exploratory refinement selected a = -0.025 with noise = 0.004. This candidate and four controls were then evaluated on 30 new paired seeds (102–131), with no reuse of the selection seeds.</w:t>
      </w:r>
    </w:p>
    <w:tbl>
      <w:tblPr>
        <w:tblStyle w:val="TableGrid"/>
        <w:tblW w:type="dxa" w:w="9360"/>
        <w:tblLayout w:type="fixed"/>
        <w:tblLook w:firstColumn="1" w:firstRow="1" w:lastColumn="0" w:lastRow="0" w:noHBand="0" w:noVBand="1" w:val="04A0"/>
        <w:jc w:val="left"/>
        <w:tblInd w:w="120" w:type="dxa"/>
      </w:tblPr>
      <w:tblGrid>
        <w:gridCol w:w="3000"/>
        <w:gridCol w:w="1900"/>
        <w:gridCol w:w="1900"/>
        <w:gridCol w:w="2560"/>
      </w:tblGrid>
      <w:tr>
        <w:tc>
          <w:tcPr>
            <w:tcW w:type="dxa" w:w="3000"/>
            <w:vAlign w:val="center"/>
            <w:tcMar>
              <w:top w:w="80" w:type="dxa"/>
              <w:start w:w="120" w:type="dxa"/>
              <w:bottom w:w="80" w:type="dxa"/>
              <w:end w:w="120" w:type="dxa"/>
            </w:tcMar>
            <w:shd w:fill="E8EEF5"/>
          </w:tcPr>
          <w:p>
            <w:pPr>
              <w:jc w:val="center"/>
            </w:pPr>
            <w:r>
              <w:rPr>
                <w:rFonts w:ascii="Calibri" w:hAnsi="Calibri"/>
                <w:b/>
                <w:i w:val="0"/>
                <w:color w:val="173A52"/>
                <w:sz w:val="20"/>
              </w:rPr>
              <w:t>Measure</w:t>
            </w:r>
          </w:p>
        </w:tc>
        <w:tc>
          <w:tcPr>
            <w:tcW w:type="dxa" w:w="1900"/>
            <w:vAlign w:val="center"/>
            <w:tcMar>
              <w:top w:w="80" w:type="dxa"/>
              <w:start w:w="120" w:type="dxa"/>
              <w:bottom w:w="80" w:type="dxa"/>
              <w:end w:w="120" w:type="dxa"/>
            </w:tcMar>
            <w:shd w:fill="E8EEF5"/>
          </w:tcPr>
          <w:p>
            <w:pPr>
              <w:jc w:val="center"/>
            </w:pPr>
            <w:r>
              <w:rPr>
                <w:rFonts w:ascii="Calibri" w:hAnsi="Calibri"/>
                <w:b/>
                <w:i w:val="0"/>
                <w:color w:val="173A52"/>
                <w:sz w:val="20"/>
              </w:rPr>
              <w:t>Baseline</w:t>
            </w:r>
          </w:p>
        </w:tc>
        <w:tc>
          <w:tcPr>
            <w:tcW w:type="dxa" w:w="1900"/>
            <w:vAlign w:val="center"/>
            <w:tcMar>
              <w:top w:w="80" w:type="dxa"/>
              <w:start w:w="120" w:type="dxa"/>
              <w:bottom w:w="80" w:type="dxa"/>
              <w:end w:w="120" w:type="dxa"/>
            </w:tcMar>
            <w:shd w:fill="E8EEF5"/>
          </w:tcPr>
          <w:p>
            <w:pPr>
              <w:jc w:val="center"/>
            </w:pPr>
            <w:r>
              <w:rPr>
                <w:rFonts w:ascii="Calibri" w:hAnsi="Calibri"/>
                <w:b/>
                <w:i w:val="0"/>
                <w:color w:val="173A52"/>
                <w:sz w:val="20"/>
              </w:rPr>
              <w:t>Candidate</w:t>
            </w:r>
          </w:p>
        </w:tc>
        <w:tc>
          <w:tcPr>
            <w:tcW w:type="dxa" w:w="2560"/>
            <w:vAlign w:val="center"/>
            <w:tcMar>
              <w:top w:w="80" w:type="dxa"/>
              <w:start w:w="120" w:type="dxa"/>
              <w:bottom w:w="80" w:type="dxa"/>
              <w:end w:w="120" w:type="dxa"/>
            </w:tcMar>
            <w:shd w:fill="E8EEF5"/>
          </w:tcPr>
          <w:p>
            <w:pPr>
              <w:jc w:val="center"/>
            </w:pPr>
            <w:r>
              <w:rPr>
                <w:rFonts w:ascii="Calibri" w:hAnsi="Calibri"/>
                <w:b/>
                <w:i w:val="0"/>
                <w:color w:val="173A52"/>
                <w:sz w:val="20"/>
              </w:rPr>
              <w:t>Candidate closer</w:t>
            </w:r>
          </w:p>
        </w:tc>
      </w:tr>
      <w:tr>
        <w:tc>
          <w:tcPr>
            <w:tcW w:type="dxa" w:w="3000"/>
            <w:vAlign w:val="center"/>
            <w:tcMar>
              <w:top w:w="80" w:type="dxa"/>
              <w:start w:w="120" w:type="dxa"/>
              <w:bottom w:w="80" w:type="dxa"/>
              <w:end w:w="120" w:type="dxa"/>
            </w:tcMar>
          </w:tcPr>
          <w:p>
            <w:pPr>
              <w:jc w:val="left"/>
            </w:pPr>
            <w:r>
              <w:rPr>
                <w:rFonts w:ascii="Calibri" w:hAnsi="Calibri"/>
                <w:b w:val="0"/>
                <w:i w:val="0"/>
                <w:color w:val="1A1A1A"/>
                <w:sz w:val="20"/>
              </w:rPr>
              <w:t>FC correlation</w:t>
            </w:r>
          </w:p>
        </w:tc>
        <w:tc>
          <w:tcPr>
            <w:tcW w:type="dxa" w:w="1900"/>
            <w:vAlign w:val="center"/>
            <w:tcMar>
              <w:top w:w="80" w:type="dxa"/>
              <w:start w:w="120" w:type="dxa"/>
              <w:bottom w:w="80" w:type="dxa"/>
              <w:end w:w="120" w:type="dxa"/>
            </w:tcMar>
          </w:tcPr>
          <w:p>
            <w:pPr>
              <w:jc w:val="center"/>
            </w:pPr>
            <w:r>
              <w:rPr>
                <w:rFonts w:ascii="Calibri" w:hAnsi="Calibri"/>
                <w:b w:val="0"/>
                <w:i w:val="0"/>
                <w:color w:val="1A1A1A"/>
                <w:sz w:val="20"/>
              </w:rPr>
              <w:t>0.670</w:t>
            </w:r>
          </w:p>
        </w:tc>
        <w:tc>
          <w:tcPr>
            <w:tcW w:type="dxa" w:w="1900"/>
            <w:vAlign w:val="center"/>
            <w:tcMar>
              <w:top w:w="80" w:type="dxa"/>
              <w:start w:w="120" w:type="dxa"/>
              <w:bottom w:w="80" w:type="dxa"/>
              <w:end w:w="120" w:type="dxa"/>
            </w:tcMar>
          </w:tcPr>
          <w:p>
            <w:pPr>
              <w:jc w:val="center"/>
            </w:pPr>
            <w:r>
              <w:rPr>
                <w:rFonts w:ascii="Calibri" w:hAnsi="Calibri"/>
                <w:b w:val="0"/>
                <w:i w:val="0"/>
                <w:color w:val="1A1A1A"/>
                <w:sz w:val="20"/>
              </w:rPr>
              <w:t>0.656</w:t>
            </w:r>
          </w:p>
        </w:tc>
        <w:tc>
          <w:tcPr>
            <w:tcW w:type="dxa" w:w="2560"/>
            <w:vAlign w:val="center"/>
            <w:tcMar>
              <w:top w:w="80" w:type="dxa"/>
              <w:start w:w="120" w:type="dxa"/>
              <w:bottom w:w="80" w:type="dxa"/>
              <w:end w:w="120" w:type="dxa"/>
            </w:tcMar>
          </w:tcPr>
          <w:p>
            <w:pPr>
              <w:jc w:val="center"/>
            </w:pPr>
            <w:r>
              <w:rPr>
                <w:rFonts w:ascii="Calibri" w:hAnsi="Calibri"/>
                <w:b w:val="0"/>
                <w:i w:val="0"/>
                <w:color w:val="1A1A1A"/>
                <w:sz w:val="20"/>
              </w:rPr>
              <w:t>0/30</w:t>
            </w:r>
          </w:p>
        </w:tc>
      </w:tr>
      <w:tr>
        <w:tc>
          <w:tcPr>
            <w:tcW w:type="dxa" w:w="3000"/>
            <w:vAlign w:val="center"/>
            <w:tcMar>
              <w:top w:w="80" w:type="dxa"/>
              <w:start w:w="120" w:type="dxa"/>
              <w:bottom w:w="80" w:type="dxa"/>
              <w:end w:w="120" w:type="dxa"/>
            </w:tcMar>
          </w:tcPr>
          <w:p>
            <w:pPr>
              <w:jc w:val="left"/>
            </w:pPr>
            <w:r>
              <w:rPr>
                <w:rFonts w:ascii="Calibri" w:hAnsi="Calibri"/>
                <w:b w:val="0"/>
                <w:i w:val="0"/>
                <w:color w:val="1A1A1A"/>
                <w:sz w:val="20"/>
              </w:rPr>
              <w:t>Mean speed</w:t>
            </w:r>
          </w:p>
        </w:tc>
        <w:tc>
          <w:tcPr>
            <w:tcW w:type="dxa" w:w="1900"/>
            <w:vAlign w:val="center"/>
            <w:tcMar>
              <w:top w:w="80" w:type="dxa"/>
              <w:start w:w="120" w:type="dxa"/>
              <w:bottom w:w="80" w:type="dxa"/>
              <w:end w:w="120" w:type="dxa"/>
            </w:tcMar>
          </w:tcPr>
          <w:p>
            <w:pPr>
              <w:jc w:val="center"/>
            </w:pPr>
            <w:r>
              <w:rPr>
                <w:rFonts w:ascii="Calibri" w:hAnsi="Calibri"/>
                <w:b w:val="0"/>
                <w:i w:val="0"/>
                <w:color w:val="1A1A1A"/>
                <w:sz w:val="20"/>
              </w:rPr>
              <w:t>0.208</w:t>
            </w:r>
          </w:p>
        </w:tc>
        <w:tc>
          <w:tcPr>
            <w:tcW w:type="dxa" w:w="1900"/>
            <w:vAlign w:val="center"/>
            <w:tcMar>
              <w:top w:w="80" w:type="dxa"/>
              <w:start w:w="120" w:type="dxa"/>
              <w:bottom w:w="80" w:type="dxa"/>
              <w:end w:w="120" w:type="dxa"/>
            </w:tcMar>
          </w:tcPr>
          <w:p>
            <w:pPr>
              <w:jc w:val="center"/>
            </w:pPr>
            <w:r>
              <w:rPr>
                <w:rFonts w:ascii="Calibri" w:hAnsi="Calibri"/>
                <w:b w:val="0"/>
                <w:i w:val="0"/>
                <w:color w:val="1A1A1A"/>
                <w:sz w:val="20"/>
              </w:rPr>
              <w:t>0.220</w:t>
            </w:r>
          </w:p>
        </w:tc>
        <w:tc>
          <w:tcPr>
            <w:tcW w:type="dxa" w:w="2560"/>
            <w:vAlign w:val="center"/>
            <w:tcMar>
              <w:top w:w="80" w:type="dxa"/>
              <w:start w:w="120" w:type="dxa"/>
              <w:bottom w:w="80" w:type="dxa"/>
              <w:end w:w="120" w:type="dxa"/>
            </w:tcMar>
          </w:tcPr>
          <w:p>
            <w:pPr>
              <w:jc w:val="center"/>
            </w:pPr>
            <w:r>
              <w:rPr>
                <w:rFonts w:ascii="Calibri" w:hAnsi="Calibri"/>
                <w:b w:val="0"/>
                <w:i w:val="0"/>
                <w:color w:val="1A1A1A"/>
                <w:sz w:val="20"/>
              </w:rPr>
              <w:t>26/30</w:t>
            </w:r>
          </w:p>
        </w:tc>
      </w:tr>
      <w:tr>
        <w:tc>
          <w:tcPr>
            <w:tcW w:type="dxa" w:w="3000"/>
            <w:vAlign w:val="center"/>
            <w:tcMar>
              <w:top w:w="80" w:type="dxa"/>
              <w:start w:w="120" w:type="dxa"/>
              <w:bottom w:w="80" w:type="dxa"/>
              <w:end w:w="120" w:type="dxa"/>
            </w:tcMar>
          </w:tcPr>
          <w:p>
            <w:pPr>
              <w:jc w:val="left"/>
            </w:pPr>
            <w:r>
              <w:rPr>
                <w:rFonts w:ascii="Calibri" w:hAnsi="Calibri"/>
                <w:b w:val="0"/>
                <w:i w:val="0"/>
                <w:color w:val="1A1A1A"/>
                <w:sz w:val="20"/>
              </w:rPr>
              <w:t>Central distance</w:t>
            </w:r>
          </w:p>
        </w:tc>
        <w:tc>
          <w:tcPr>
            <w:tcW w:type="dxa" w:w="1900"/>
            <w:vAlign w:val="center"/>
            <w:tcMar>
              <w:top w:w="80" w:type="dxa"/>
              <w:start w:w="120" w:type="dxa"/>
              <w:bottom w:w="80" w:type="dxa"/>
              <w:end w:w="120" w:type="dxa"/>
            </w:tcMar>
          </w:tcPr>
          <w:p>
            <w:pPr>
              <w:jc w:val="center"/>
            </w:pPr>
            <w:r>
              <w:rPr>
                <w:rFonts w:ascii="Calibri" w:hAnsi="Calibri"/>
                <w:b w:val="0"/>
                <w:i w:val="0"/>
                <w:color w:val="1A1A1A"/>
                <w:sz w:val="20"/>
              </w:rPr>
              <w:t>1.156</w:t>
            </w:r>
          </w:p>
        </w:tc>
        <w:tc>
          <w:tcPr>
            <w:tcW w:type="dxa" w:w="1900"/>
            <w:vAlign w:val="center"/>
            <w:tcMar>
              <w:top w:w="80" w:type="dxa"/>
              <w:start w:w="120" w:type="dxa"/>
              <w:bottom w:w="80" w:type="dxa"/>
              <w:end w:w="120" w:type="dxa"/>
            </w:tcMar>
          </w:tcPr>
          <w:p>
            <w:pPr>
              <w:jc w:val="center"/>
            </w:pPr>
            <w:r>
              <w:rPr>
                <w:rFonts w:ascii="Calibri" w:hAnsi="Calibri"/>
                <w:b w:val="0"/>
                <w:i w:val="0"/>
                <w:color w:val="1A1A1A"/>
                <w:sz w:val="20"/>
              </w:rPr>
              <w:t>1.185</w:t>
            </w:r>
          </w:p>
        </w:tc>
        <w:tc>
          <w:tcPr>
            <w:tcW w:type="dxa" w:w="2560"/>
            <w:vAlign w:val="center"/>
            <w:tcMar>
              <w:top w:w="80" w:type="dxa"/>
              <w:start w:w="120" w:type="dxa"/>
              <w:bottom w:w="80" w:type="dxa"/>
              <w:end w:w="120" w:type="dxa"/>
            </w:tcMar>
          </w:tcPr>
          <w:p>
            <w:pPr>
              <w:jc w:val="center"/>
            </w:pPr>
            <w:r>
              <w:rPr>
                <w:rFonts w:ascii="Calibri" w:hAnsi="Calibri"/>
                <w:b w:val="0"/>
                <w:i w:val="0"/>
                <w:color w:val="1A1A1A"/>
                <w:sz w:val="20"/>
              </w:rPr>
              <w:t>25/30</w:t>
            </w:r>
          </w:p>
        </w:tc>
      </w:tr>
      <w:tr>
        <w:tc>
          <w:tcPr>
            <w:tcW w:type="dxa" w:w="3000"/>
            <w:vAlign w:val="center"/>
            <w:tcMar>
              <w:top w:w="80" w:type="dxa"/>
              <w:start w:w="120" w:type="dxa"/>
              <w:bottom w:w="80" w:type="dxa"/>
              <w:end w:w="120" w:type="dxa"/>
            </w:tcMar>
          </w:tcPr>
          <w:p>
            <w:pPr>
              <w:jc w:val="left"/>
            </w:pPr>
            <w:r>
              <w:rPr>
                <w:rFonts w:ascii="Calibri" w:hAnsi="Calibri"/>
                <w:b w:val="0"/>
                <w:i w:val="0"/>
                <w:color w:val="1A1A1A"/>
                <w:sz w:val="20"/>
              </w:rPr>
              <w:t>Effective dimension</w:t>
            </w:r>
          </w:p>
        </w:tc>
        <w:tc>
          <w:tcPr>
            <w:tcW w:type="dxa" w:w="1900"/>
            <w:vAlign w:val="center"/>
            <w:tcMar>
              <w:top w:w="80" w:type="dxa"/>
              <w:start w:w="120" w:type="dxa"/>
              <w:bottom w:w="80" w:type="dxa"/>
              <w:end w:w="120" w:type="dxa"/>
            </w:tcMar>
          </w:tcPr>
          <w:p>
            <w:pPr>
              <w:jc w:val="center"/>
            </w:pPr>
            <w:r>
              <w:rPr>
                <w:rFonts w:ascii="Calibri" w:hAnsi="Calibri"/>
                <w:b w:val="0"/>
                <w:i w:val="0"/>
                <w:color w:val="1A1A1A"/>
                <w:sz w:val="20"/>
              </w:rPr>
              <w:t>13.39</w:t>
            </w:r>
          </w:p>
        </w:tc>
        <w:tc>
          <w:tcPr>
            <w:tcW w:type="dxa" w:w="1900"/>
            <w:vAlign w:val="center"/>
            <w:tcMar>
              <w:top w:w="80" w:type="dxa"/>
              <w:start w:w="120" w:type="dxa"/>
              <w:bottom w:w="80" w:type="dxa"/>
              <w:end w:w="120" w:type="dxa"/>
            </w:tcMar>
          </w:tcPr>
          <w:p>
            <w:pPr>
              <w:jc w:val="center"/>
            </w:pPr>
            <w:r>
              <w:rPr>
                <w:rFonts w:ascii="Calibri" w:hAnsi="Calibri"/>
                <w:b w:val="0"/>
                <w:i w:val="0"/>
                <w:color w:val="1A1A1A"/>
                <w:sz w:val="20"/>
              </w:rPr>
              <w:t>15.49</w:t>
            </w:r>
          </w:p>
        </w:tc>
        <w:tc>
          <w:tcPr>
            <w:tcW w:type="dxa" w:w="2560"/>
            <w:vAlign w:val="center"/>
            <w:tcMar>
              <w:top w:w="80" w:type="dxa"/>
              <w:start w:w="120" w:type="dxa"/>
              <w:bottom w:w="80" w:type="dxa"/>
              <w:end w:w="120" w:type="dxa"/>
            </w:tcMar>
          </w:tcPr>
          <w:p>
            <w:pPr>
              <w:jc w:val="center"/>
            </w:pPr>
            <w:r>
              <w:rPr>
                <w:rFonts w:ascii="Calibri" w:hAnsi="Calibri"/>
                <w:b w:val="0"/>
                <w:i w:val="0"/>
                <w:color w:val="1A1A1A"/>
                <w:sz w:val="20"/>
              </w:rPr>
              <w:t>10/30</w:t>
            </w:r>
          </w:p>
        </w:tc>
      </w:tr>
      <w:tr>
        <w:tc>
          <w:tcPr>
            <w:tcW w:type="dxa" w:w="3000"/>
            <w:vAlign w:val="center"/>
            <w:tcMar>
              <w:top w:w="80" w:type="dxa"/>
              <w:start w:w="120" w:type="dxa"/>
              <w:bottom w:w="80" w:type="dxa"/>
              <w:end w:w="120" w:type="dxa"/>
            </w:tcMar>
          </w:tcPr>
          <w:p>
            <w:pPr>
              <w:jc w:val="left"/>
            </w:pPr>
            <w:r>
              <w:rPr>
                <w:rFonts w:ascii="Calibri" w:hAnsi="Calibri"/>
                <w:b w:val="0"/>
                <w:i w:val="0"/>
                <w:color w:val="1A1A1A"/>
                <w:sz w:val="20"/>
              </w:rPr>
              <w:t>Recurrence distance</w:t>
            </w:r>
          </w:p>
        </w:tc>
        <w:tc>
          <w:tcPr>
            <w:tcW w:type="dxa" w:w="1900"/>
            <w:vAlign w:val="center"/>
            <w:tcMar>
              <w:top w:w="80" w:type="dxa"/>
              <w:start w:w="120" w:type="dxa"/>
              <w:bottom w:w="80" w:type="dxa"/>
              <w:end w:w="120" w:type="dxa"/>
            </w:tcMar>
          </w:tcPr>
          <w:p>
            <w:pPr>
              <w:jc w:val="center"/>
            </w:pPr>
            <w:r>
              <w:rPr>
                <w:rFonts w:ascii="Calibri" w:hAnsi="Calibri"/>
                <w:b w:val="0"/>
                <w:i w:val="0"/>
                <w:color w:val="1A1A1A"/>
                <w:sz w:val="20"/>
              </w:rPr>
              <w:t>0.943</w:t>
            </w:r>
          </w:p>
        </w:tc>
        <w:tc>
          <w:tcPr>
            <w:tcW w:type="dxa" w:w="1900"/>
            <w:vAlign w:val="center"/>
            <w:tcMar>
              <w:top w:w="80" w:type="dxa"/>
              <w:start w:w="120" w:type="dxa"/>
              <w:bottom w:w="80" w:type="dxa"/>
              <w:end w:w="120" w:type="dxa"/>
            </w:tcMar>
          </w:tcPr>
          <w:p>
            <w:pPr>
              <w:jc w:val="center"/>
            </w:pPr>
            <w:r>
              <w:rPr>
                <w:rFonts w:ascii="Calibri" w:hAnsi="Calibri"/>
                <w:b w:val="0"/>
                <w:i w:val="0"/>
                <w:color w:val="1A1A1A"/>
                <w:sz w:val="20"/>
              </w:rPr>
              <w:t>0.980</w:t>
            </w:r>
          </w:p>
        </w:tc>
        <w:tc>
          <w:tcPr>
            <w:tcW w:type="dxa" w:w="2560"/>
            <w:vAlign w:val="center"/>
            <w:tcMar>
              <w:top w:w="80" w:type="dxa"/>
              <w:start w:w="120" w:type="dxa"/>
              <w:bottom w:w="80" w:type="dxa"/>
              <w:end w:w="120" w:type="dxa"/>
            </w:tcMar>
          </w:tcPr>
          <w:p>
            <w:pPr>
              <w:jc w:val="center"/>
            </w:pPr>
            <w:r>
              <w:rPr>
                <w:rFonts w:ascii="Calibri" w:hAnsi="Calibri"/>
                <w:b w:val="0"/>
                <w:i w:val="0"/>
                <w:color w:val="1A1A1A"/>
                <w:sz w:val="20"/>
              </w:rPr>
              <w:t>1/30</w:t>
            </w:r>
          </w:p>
        </w:tc>
      </w:tr>
    </w:tbl>
    <w:p>
      <w:pPr>
        <w:spacing w:after="60"/>
      </w:pPr>
    </w:p>
    <w:p>
      <w:pPr>
        <w:keepLines/>
        <w:spacing w:before="0" w:after="120" w:line="264" w:lineRule="auto"/>
      </w:pPr>
      <w:r>
        <w:rPr>
          <w:rFonts w:ascii="Calibri" w:hAnsi="Calibri"/>
          <w:b w:val="0"/>
          <w:i w:val="0"/>
          <w:color w:val="1A1A1A"/>
          <w:sz w:val="22"/>
        </w:rPr>
        <w:t>The candidate robustly improved mean speed and central distance, but worsened effective dimension, recurrence and static FC. The bifurcation-only control at a = -0.025 and noise = 0.001 was nearly identical to the candidate, demonstrating that the effect was driven primarily by the bifurcation change rather than increased noise.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2F4F7"/>
          </w:tcPr>
          <w:p>
            <w:pPr>
              <w:spacing w:after="40"/>
            </w:pPr>
            <w:r>
              <w:rPr>
                <w:rFonts w:ascii="Calibri" w:hAnsi="Calibri"/>
                <w:b/>
                <w:i w:val="0"/>
                <w:color w:val="173A52"/>
                <w:sz w:val="22"/>
              </w:rPr>
              <w:t xml:space="preserve">Hypothesis revision: </w:t>
            </w:r>
            <w:r>
              <w:rPr>
                <w:rFonts w:ascii="Calibri" w:hAnsi="Calibri"/>
                <w:b w:val="0"/>
                <w:i w:val="0"/>
                <w:color w:val="1A1A1A"/>
                <w:sz w:val="22"/>
              </w:rPr>
              <w:t>Connectivity and cooperative–competitive balance strongly constrain the landscape, while the bifurcation parameter strongly affects movement. However, the bifurcation parameter also reshapes the landscape: geometry and kinetics are coupled rather than independently adjustable dials.</w:t>
            </w:r>
          </w:p>
        </w:tc>
      </w:tr>
    </w:tbl>
    <w:p>
      <w:pPr>
        <w:spacing w:after="40"/>
      </w:pPr>
    </w:p>
    <w:p>
      <w:pPr>
        <w:pStyle w:val="Heading2"/>
        <w:keepNext/>
      </w:pPr>
      <w:r>
        <w:t>8.6 Phase 3 decision</w:t>
      </w:r>
    </w:p>
    <w:p>
      <w:pPr>
        <w:keepLines/>
        <w:spacing w:before="0" w:after="120" w:line="264" w:lineRule="auto"/>
      </w:pPr>
      <w:r>
        <w:rPr>
          <w:rFonts w:ascii="Calibri" w:hAnsi="Calibri"/>
          <w:b w:val="0"/>
          <w:i w:val="0"/>
          <w:color w:val="1A1A1A"/>
          <w:sz w:val="22"/>
        </w:rPr>
        <w:t>The negative result is informative and independently reproducible: there was no clean kinetic rescue that preserved every geometrical and static property. Phase 3 is sufficiently mature to proceed. The next stage will define and validate an explicit reversal-learning task before comparing connectome variants, preventing task design from being tuned to favor the signed model.</w:t>
      </w:r>
    </w:p>
    <w:p>
      <w:pPr>
        <w:pStyle w:val="Heading2"/>
        <w:keepNext/>
      </w:pPr>
      <w:r>
        <w:t>8.7 Frozen EEG reversal-learning confirmation</w:t>
      </w:r>
    </w:p>
    <w:p>
      <w:pPr>
        <w:keepLines/>
        <w:spacing w:before="0" w:after="120" w:line="264" w:lineRule="auto"/>
      </w:pPr>
      <w:r>
        <w:rPr>
          <w:rFonts w:ascii="Calibri" w:hAnsi="Calibri"/>
          <w:b w:val="0"/>
          <w:i w:val="0"/>
          <w:color w:val="1A1A1A"/>
          <w:sz w:val="22"/>
        </w:rPr>
        <w:t>A switch-locked EEG analysis was frozen before inspecting confirmation participants sub-s2, sub-s3 and sub-s4 from OpenNeuro ds004295. The primary endpoint asked whether theta phase-pattern reconfiguration on negative-feedback reward trials was greater during the first ten trials after reversal than during the ten stable trials before reversal. A participant required at least five clean trials in both periods, and the directional gate required a positive effect in at least two participants.</w:t>
      </w:r>
    </w:p>
    <w:tbl>
      <w:tblPr>
        <w:tblStyle w:val="TableGrid"/>
        <w:tblW w:type="dxa" w:w="9360"/>
        <w:tblLayout w:type="fixed"/>
        <w:tblLook w:firstColumn="1" w:firstRow="1" w:lastColumn="0" w:lastRow="0" w:noHBand="0" w:noVBand="1" w:val="04A0"/>
        <w:jc w:val="left"/>
        <w:tblInd w:w="120" w:type="dxa"/>
      </w:tblPr>
      <w:tblGrid>
        <w:gridCol w:w="1500"/>
        <w:gridCol w:w="1600"/>
        <w:gridCol w:w="1500"/>
        <w:gridCol w:w="2100"/>
        <w:gridCol w:w="2660"/>
      </w:tblGrid>
      <w:tr>
        <w:tc>
          <w:tcPr>
            <w:tcW w:type="dxa" w:w="1500"/>
            <w:vAlign w:val="center"/>
            <w:tcMar>
              <w:top w:w="80" w:type="dxa"/>
              <w:start w:w="120" w:type="dxa"/>
              <w:bottom w:w="80" w:type="dxa"/>
              <w:end w:w="120" w:type="dxa"/>
            </w:tcMar>
            <w:shd w:fill="E8EEF5"/>
          </w:tcPr>
          <w:p>
            <w:pPr>
              <w:jc w:val="center"/>
            </w:pPr>
            <w:r>
              <w:rPr>
                <w:rFonts w:ascii="Calibri" w:hAnsi="Calibri"/>
                <w:b/>
                <w:i w:val="0"/>
                <w:color w:val="173A52"/>
                <w:sz w:val="20"/>
              </w:rPr>
              <w:t>Participant</w:t>
            </w:r>
          </w:p>
        </w:tc>
        <w:tc>
          <w:tcPr>
            <w:tcW w:type="dxa" w:w="1600"/>
            <w:vAlign w:val="center"/>
            <w:tcMar>
              <w:top w:w="80" w:type="dxa"/>
              <w:start w:w="120" w:type="dxa"/>
              <w:bottom w:w="80" w:type="dxa"/>
              <w:end w:w="120" w:type="dxa"/>
            </w:tcMar>
            <w:shd w:fill="E8EEF5"/>
          </w:tcPr>
          <w:p>
            <w:pPr>
              <w:jc w:val="center"/>
            </w:pPr>
            <w:r>
              <w:rPr>
                <w:rFonts w:ascii="Calibri" w:hAnsi="Calibri"/>
                <w:b/>
                <w:i w:val="0"/>
                <w:color w:val="173A52"/>
                <w:sz w:val="20"/>
              </w:rPr>
              <w:t>Stable trials</w:t>
            </w:r>
          </w:p>
        </w:tc>
        <w:tc>
          <w:tcPr>
            <w:tcW w:type="dxa" w:w="1500"/>
            <w:vAlign w:val="center"/>
            <w:tcMar>
              <w:top w:w="80" w:type="dxa"/>
              <w:start w:w="120" w:type="dxa"/>
              <w:bottom w:w="80" w:type="dxa"/>
              <w:end w:w="120" w:type="dxa"/>
            </w:tcMar>
            <w:shd w:fill="E8EEF5"/>
          </w:tcPr>
          <w:p>
            <w:pPr>
              <w:jc w:val="center"/>
            </w:pPr>
            <w:r>
              <w:rPr>
                <w:rFonts w:ascii="Calibri" w:hAnsi="Calibri"/>
                <w:b/>
                <w:i w:val="0"/>
                <w:color w:val="173A52"/>
                <w:sz w:val="20"/>
              </w:rPr>
              <w:t>Early trials</w:t>
            </w:r>
          </w:p>
        </w:tc>
        <w:tc>
          <w:tcPr>
            <w:tcW w:type="dxa" w:w="2100"/>
            <w:vAlign w:val="center"/>
            <w:tcMar>
              <w:top w:w="80" w:type="dxa"/>
              <w:start w:w="120" w:type="dxa"/>
              <w:bottom w:w="80" w:type="dxa"/>
              <w:end w:w="120" w:type="dxa"/>
            </w:tcMar>
            <w:shd w:fill="E8EEF5"/>
          </w:tcPr>
          <w:p>
            <w:pPr>
              <w:jc w:val="center"/>
            </w:pPr>
            <w:r>
              <w:rPr>
                <w:rFonts w:ascii="Calibri" w:hAnsi="Calibri"/>
                <w:b/>
                <w:i w:val="0"/>
                <w:color w:val="173A52"/>
                <w:sz w:val="20"/>
              </w:rPr>
              <w:t>Early − stable</w:t>
            </w:r>
          </w:p>
        </w:tc>
        <w:tc>
          <w:tcPr>
            <w:tcW w:type="dxa" w:w="2660"/>
            <w:vAlign w:val="center"/>
            <w:tcMar>
              <w:top w:w="80" w:type="dxa"/>
              <w:start w:w="120" w:type="dxa"/>
              <w:bottom w:w="80" w:type="dxa"/>
              <w:end w:w="120" w:type="dxa"/>
            </w:tcMar>
            <w:shd w:fill="E8EEF5"/>
          </w:tcPr>
          <w:p>
            <w:pPr>
              <w:jc w:val="center"/>
            </w:pPr>
            <w:r>
              <w:rPr>
                <w:rFonts w:ascii="Calibri" w:hAnsi="Calibri"/>
                <w:b/>
                <w:i w:val="0"/>
                <w:color w:val="173A52"/>
                <w:sz w:val="20"/>
              </w:rPr>
              <w:t>Decision</w:t>
            </w:r>
          </w:p>
        </w:tc>
      </w:tr>
      <w:tr>
        <w:tc>
          <w:tcPr>
            <w:tcW w:type="dxa" w:w="1500"/>
            <w:vAlign w:val="center"/>
            <w:tcMar>
              <w:top w:w="80" w:type="dxa"/>
              <w:start w:w="120" w:type="dxa"/>
              <w:bottom w:w="80" w:type="dxa"/>
              <w:end w:w="120" w:type="dxa"/>
            </w:tcMar>
          </w:tcPr>
          <w:p>
            <w:pPr>
              <w:jc w:val="left"/>
            </w:pPr>
            <w:r>
              <w:rPr>
                <w:rFonts w:ascii="Calibri" w:hAnsi="Calibri"/>
                <w:b w:val="0"/>
                <w:i w:val="0"/>
                <w:color w:val="1A1A1A"/>
                <w:sz w:val="20"/>
              </w:rPr>
              <w:t>sub-s2</w:t>
            </w:r>
          </w:p>
        </w:tc>
        <w:tc>
          <w:tcPr>
            <w:tcW w:type="dxa" w:w="1600"/>
            <w:vAlign w:val="center"/>
            <w:tcMar>
              <w:top w:w="80" w:type="dxa"/>
              <w:start w:w="120" w:type="dxa"/>
              <w:bottom w:w="80" w:type="dxa"/>
              <w:end w:w="120" w:type="dxa"/>
            </w:tcMar>
          </w:tcPr>
          <w:p>
            <w:pPr>
              <w:jc w:val="center"/>
            </w:pPr>
            <w:r>
              <w:rPr>
                <w:rFonts w:ascii="Calibri" w:hAnsi="Calibri"/>
                <w:b w:val="0"/>
                <w:i w:val="0"/>
                <w:color w:val="1A1A1A"/>
                <w:sz w:val="20"/>
              </w:rPr>
              <w:t>11</w:t>
            </w:r>
          </w:p>
        </w:tc>
        <w:tc>
          <w:tcPr>
            <w:tcW w:type="dxa" w:w="1500"/>
            <w:vAlign w:val="center"/>
            <w:tcMar>
              <w:top w:w="80" w:type="dxa"/>
              <w:start w:w="120" w:type="dxa"/>
              <w:bottom w:w="80" w:type="dxa"/>
              <w:end w:w="120" w:type="dxa"/>
            </w:tcMar>
          </w:tcPr>
          <w:p>
            <w:pPr>
              <w:jc w:val="center"/>
            </w:pPr>
            <w:r>
              <w:rPr>
                <w:rFonts w:ascii="Calibri" w:hAnsi="Calibri"/>
                <w:b w:val="0"/>
                <w:i w:val="0"/>
                <w:color w:val="1A1A1A"/>
                <w:sz w:val="20"/>
              </w:rPr>
              <w:t>10</w:t>
            </w:r>
          </w:p>
        </w:tc>
        <w:tc>
          <w:tcPr>
            <w:tcW w:type="dxa" w:w="2100"/>
            <w:vAlign w:val="center"/>
            <w:tcMar>
              <w:top w:w="80" w:type="dxa"/>
              <w:start w:w="120" w:type="dxa"/>
              <w:bottom w:w="80" w:type="dxa"/>
              <w:end w:w="120" w:type="dxa"/>
            </w:tcMar>
          </w:tcPr>
          <w:p>
            <w:pPr>
              <w:jc w:val="center"/>
            </w:pPr>
            <w:r>
              <w:rPr>
                <w:rFonts w:ascii="Calibri" w:hAnsi="Calibri"/>
                <w:b w:val="0"/>
                <w:i w:val="0"/>
                <w:color w:val="1A1A1A"/>
                <w:sz w:val="20"/>
              </w:rPr>
              <w:t>−0.002875</w:t>
            </w:r>
          </w:p>
        </w:tc>
        <w:tc>
          <w:tcPr>
            <w:tcW w:type="dxa" w:w="2660"/>
            <w:vAlign w:val="center"/>
            <w:tcMar>
              <w:top w:w="80" w:type="dxa"/>
              <w:start w:w="120" w:type="dxa"/>
              <w:bottom w:w="80" w:type="dxa"/>
              <w:end w:w="120" w:type="dxa"/>
            </w:tcMar>
          </w:tcPr>
          <w:p>
            <w:pPr>
              <w:jc w:val="center"/>
            </w:pPr>
            <w:r>
              <w:rPr>
                <w:rFonts w:ascii="Calibri" w:hAnsi="Calibri"/>
                <w:b w:val="0"/>
                <w:i w:val="0"/>
                <w:color w:val="1A1A1A"/>
                <w:sz w:val="20"/>
              </w:rPr>
              <w:t>Negative direction</w:t>
            </w:r>
          </w:p>
        </w:tc>
      </w:tr>
      <w:tr>
        <w:tc>
          <w:tcPr>
            <w:tcW w:type="dxa" w:w="1500"/>
            <w:vAlign w:val="center"/>
            <w:tcMar>
              <w:top w:w="80" w:type="dxa"/>
              <w:start w:w="120" w:type="dxa"/>
              <w:bottom w:w="80" w:type="dxa"/>
              <w:end w:w="120" w:type="dxa"/>
            </w:tcMar>
          </w:tcPr>
          <w:p>
            <w:pPr>
              <w:jc w:val="left"/>
            </w:pPr>
            <w:r>
              <w:rPr>
                <w:rFonts w:ascii="Calibri" w:hAnsi="Calibri"/>
                <w:b w:val="0"/>
                <w:i w:val="0"/>
                <w:color w:val="1A1A1A"/>
                <w:sz w:val="20"/>
              </w:rPr>
              <w:t>sub-s3</w:t>
            </w:r>
          </w:p>
        </w:tc>
        <w:tc>
          <w:tcPr>
            <w:tcW w:type="dxa" w:w="1600"/>
            <w:vAlign w:val="center"/>
            <w:tcMar>
              <w:top w:w="80" w:type="dxa"/>
              <w:start w:w="120" w:type="dxa"/>
              <w:bottom w:w="80" w:type="dxa"/>
              <w:end w:w="120" w:type="dxa"/>
            </w:tcMar>
          </w:tcPr>
          <w:p>
            <w:pPr>
              <w:jc w:val="center"/>
            </w:pPr>
            <w:r>
              <w:rPr>
                <w:rFonts w:ascii="Calibri" w:hAnsi="Calibri"/>
                <w:b w:val="0"/>
                <w:i w:val="0"/>
                <w:color w:val="1A1A1A"/>
                <w:sz w:val="20"/>
              </w:rPr>
              <w:t>4</w:t>
            </w:r>
          </w:p>
        </w:tc>
        <w:tc>
          <w:tcPr>
            <w:tcW w:type="dxa" w:w="1500"/>
            <w:vAlign w:val="center"/>
            <w:tcMar>
              <w:top w:w="80" w:type="dxa"/>
              <w:start w:w="120" w:type="dxa"/>
              <w:bottom w:w="80" w:type="dxa"/>
              <w:end w:w="120" w:type="dxa"/>
            </w:tcMar>
          </w:tcPr>
          <w:p>
            <w:pPr>
              <w:jc w:val="center"/>
            </w:pPr>
            <w:r>
              <w:rPr>
                <w:rFonts w:ascii="Calibri" w:hAnsi="Calibri"/>
                <w:b w:val="0"/>
                <w:i w:val="0"/>
                <w:color w:val="1A1A1A"/>
                <w:sz w:val="20"/>
              </w:rPr>
              <w:t>13</w:t>
            </w:r>
          </w:p>
        </w:tc>
        <w:tc>
          <w:tcPr>
            <w:tcW w:type="dxa" w:w="2100"/>
            <w:vAlign w:val="center"/>
            <w:tcMar>
              <w:top w:w="80" w:type="dxa"/>
              <w:start w:w="120" w:type="dxa"/>
              <w:bottom w:w="80" w:type="dxa"/>
              <w:end w:w="120" w:type="dxa"/>
            </w:tcMar>
          </w:tcPr>
          <w:p>
            <w:pPr>
              <w:jc w:val="center"/>
            </w:pPr>
            <w:r>
              <w:rPr>
                <w:rFonts w:ascii="Calibri" w:hAnsi="Calibri"/>
                <w:b w:val="0"/>
                <w:i w:val="0"/>
                <w:color w:val="1A1A1A"/>
                <w:sz w:val="20"/>
              </w:rPr>
              <w:t>Not evaluated</w:t>
            </w:r>
          </w:p>
        </w:tc>
        <w:tc>
          <w:tcPr>
            <w:tcW w:type="dxa" w:w="2660"/>
            <w:vAlign w:val="center"/>
            <w:tcMar>
              <w:top w:w="80" w:type="dxa"/>
              <w:start w:w="120" w:type="dxa"/>
              <w:bottom w:w="80" w:type="dxa"/>
              <w:end w:w="120" w:type="dxa"/>
            </w:tcMar>
          </w:tcPr>
          <w:p>
            <w:pPr>
              <w:jc w:val="center"/>
            </w:pPr>
            <w:r>
              <w:rPr>
                <w:rFonts w:ascii="Calibri" w:hAnsi="Calibri"/>
                <w:b w:val="0"/>
                <w:i w:val="0"/>
                <w:color w:val="1A1A1A"/>
                <w:sz w:val="20"/>
              </w:rPr>
              <w:t>Below frozen minimum</w:t>
            </w:r>
          </w:p>
        </w:tc>
      </w:tr>
      <w:tr>
        <w:tc>
          <w:tcPr>
            <w:tcW w:type="dxa" w:w="1500"/>
            <w:vAlign w:val="center"/>
            <w:tcMar>
              <w:top w:w="80" w:type="dxa"/>
              <w:start w:w="120" w:type="dxa"/>
              <w:bottom w:w="80" w:type="dxa"/>
              <w:end w:w="120" w:type="dxa"/>
            </w:tcMar>
          </w:tcPr>
          <w:p>
            <w:pPr>
              <w:jc w:val="left"/>
            </w:pPr>
            <w:r>
              <w:rPr>
                <w:rFonts w:ascii="Calibri" w:hAnsi="Calibri"/>
                <w:b w:val="0"/>
                <w:i w:val="0"/>
                <w:color w:val="1A1A1A"/>
                <w:sz w:val="20"/>
              </w:rPr>
              <w:t>sub-s4</w:t>
            </w:r>
          </w:p>
        </w:tc>
        <w:tc>
          <w:tcPr>
            <w:tcW w:type="dxa" w:w="1600"/>
            <w:vAlign w:val="center"/>
            <w:tcMar>
              <w:top w:w="80" w:type="dxa"/>
              <w:start w:w="120" w:type="dxa"/>
              <w:bottom w:w="80" w:type="dxa"/>
              <w:end w:w="120" w:type="dxa"/>
            </w:tcMar>
          </w:tcPr>
          <w:p>
            <w:pPr>
              <w:jc w:val="center"/>
            </w:pPr>
            <w:r>
              <w:rPr>
                <w:rFonts w:ascii="Calibri" w:hAnsi="Calibri"/>
                <w:b w:val="0"/>
                <w:i w:val="0"/>
                <w:color w:val="1A1A1A"/>
                <w:sz w:val="20"/>
              </w:rPr>
              <w:t>12</w:t>
            </w:r>
          </w:p>
        </w:tc>
        <w:tc>
          <w:tcPr>
            <w:tcW w:type="dxa" w:w="1500"/>
            <w:vAlign w:val="center"/>
            <w:tcMar>
              <w:top w:w="80" w:type="dxa"/>
              <w:start w:w="120" w:type="dxa"/>
              <w:bottom w:w="80" w:type="dxa"/>
              <w:end w:w="120" w:type="dxa"/>
            </w:tcMar>
          </w:tcPr>
          <w:p>
            <w:pPr>
              <w:jc w:val="center"/>
            </w:pPr>
            <w:r>
              <w:rPr>
                <w:rFonts w:ascii="Calibri" w:hAnsi="Calibri"/>
                <w:b w:val="0"/>
                <w:i w:val="0"/>
                <w:color w:val="1A1A1A"/>
                <w:sz w:val="20"/>
              </w:rPr>
              <w:t>11</w:t>
            </w:r>
          </w:p>
        </w:tc>
        <w:tc>
          <w:tcPr>
            <w:tcW w:type="dxa" w:w="2100"/>
            <w:vAlign w:val="center"/>
            <w:tcMar>
              <w:top w:w="80" w:type="dxa"/>
              <w:start w:w="120" w:type="dxa"/>
              <w:bottom w:w="80" w:type="dxa"/>
              <w:end w:w="120" w:type="dxa"/>
            </w:tcMar>
          </w:tcPr>
          <w:p>
            <w:pPr>
              <w:jc w:val="center"/>
            </w:pPr>
            <w:r>
              <w:rPr>
                <w:rFonts w:ascii="Calibri" w:hAnsi="Calibri"/>
                <w:b w:val="0"/>
                <w:i w:val="0"/>
                <w:color w:val="1A1A1A"/>
                <w:sz w:val="20"/>
              </w:rPr>
              <w:t>+0.006147</w:t>
            </w:r>
          </w:p>
        </w:tc>
        <w:tc>
          <w:tcPr>
            <w:tcW w:type="dxa" w:w="2660"/>
            <w:vAlign w:val="center"/>
            <w:tcMar>
              <w:top w:w="80" w:type="dxa"/>
              <w:start w:w="120" w:type="dxa"/>
              <w:bottom w:w="80" w:type="dxa"/>
              <w:end w:w="120" w:type="dxa"/>
            </w:tcMar>
          </w:tcPr>
          <w:p>
            <w:pPr>
              <w:jc w:val="center"/>
            </w:pPr>
            <w:r>
              <w:rPr>
                <w:rFonts w:ascii="Calibri" w:hAnsi="Calibri"/>
                <w:b w:val="0"/>
                <w:i w:val="0"/>
                <w:color w:val="1A1A1A"/>
                <w:sz w:val="20"/>
              </w:rPr>
              <w:t>Positive direction</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2F4F7"/>
          </w:tcPr>
          <w:p>
            <w:pPr>
              <w:spacing w:after="40"/>
            </w:pPr>
            <w:r>
              <w:rPr>
                <w:rFonts w:ascii="Calibri" w:hAnsi="Calibri"/>
                <w:b/>
                <w:i w:val="0"/>
                <w:color w:val="173A52"/>
                <w:sz w:val="22"/>
              </w:rPr>
              <w:t xml:space="preserve">Frozen gate result — did not pass: </w:t>
            </w:r>
            <w:r>
              <w:rPr>
                <w:rFonts w:ascii="Calibri" w:hAnsi="Calibri"/>
                <w:b w:val="0"/>
                <w:i w:val="0"/>
                <w:color w:val="1A1A1A"/>
                <w:sz w:val="22"/>
              </w:rPr>
              <w:t>Only one of the two evaluable participants showed the predicted positive direction. The threshold was not lowered after seeing the data. This is a failed technical and directional confirmation, not evidence that reversal learning has no neural reconfiguration.</w:t>
            </w:r>
          </w:p>
        </w:tc>
      </w:tr>
    </w:tbl>
    <w:p>
      <w:pPr>
        <w:spacing w:after="40"/>
      </w:pPr>
    </w:p>
    <w:p>
      <w:pPr>
        <w:keepLines/>
        <w:spacing w:before="0" w:after="120" w:line="264" w:lineRule="auto"/>
      </w:pPr>
      <w:r>
        <w:rPr>
          <w:rFonts w:ascii="Calibri" w:hAnsi="Calibri"/>
          <w:b w:val="0"/>
          <w:i w:val="0"/>
          <w:color w:val="1A1A1A"/>
          <w:sz w:val="22"/>
        </w:rPr>
        <w:t>The supporting checks were largely successful. All six EEG files passed integrity verification, artifact-rejection imbalance remained below 20 percentage points for all participants, and the frontal-midline reward-theta positive control passed in two of three participants. Participant sub-s3 was excluded mechanically because only four clean stable-pre negative-reward trials remained.</w:t>
      </w:r>
    </w:p>
    <w:p>
      <w:pPr>
        <w:keepLines/>
        <w:spacing w:before="0" w:after="120" w:line="264" w:lineRule="auto"/>
      </w:pPr>
      <w:r>
        <w:rPr>
          <w:rFonts w:ascii="Calibri" w:hAnsi="Calibri"/>
          <w:b w:val="0"/>
          <w:i w:val="0"/>
          <w:color w:val="1A1A1A"/>
          <w:sz w:val="22"/>
        </w:rPr>
        <w:t>The primary values clustered near 0.96–0.97, revealing a possible ceiling or scaling weakness in the instantaneous phase-pattern metric. The next work is therefore an explicitly exploratory instrument audit using synthetic known-state signals and surrogate EEG. Alternative estimators must be validated and frozen before testing additional untouched participants; the failed gate will remain unchanged as the record of this attempt.</w:t>
      </w:r>
    </w:p>
    <w:p>
      <w:pPr>
        <w:keepNext/>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reversal_eeg_confirmation.png"/>
                    <pic:cNvPicPr/>
                  </pic:nvPicPr>
                  <pic:blipFill>
                    <a:blip r:embed="rId17"/>
                    <a:stretch>
                      <a:fillRect/>
                    </a:stretch>
                  </pic:blipFill>
                  <pic:spPr>
                    <a:xfrm>
                      <a:off x="0" y="0"/>
                      <a:ext cx="5669280" cy="3543300"/>
                    </a:xfrm>
                    <a:prstGeom prst="rect"/>
                  </pic:spPr>
                </pic:pic>
              </a:graphicData>
            </a:graphic>
          </wp:inline>
        </w:drawing>
      </w:r>
    </w:p>
    <w:p>
      <w:pPr>
        <w:spacing w:before="60" w:after="160"/>
        <w:jc w:val="center"/>
      </w:pPr>
      <w:r>
        <w:rPr>
          <w:rFonts w:ascii="Calibri" w:hAnsi="Calibri"/>
          <w:b w:val="0"/>
          <w:i/>
          <w:color w:val="68717A"/>
          <w:sz w:val="18"/>
        </w:rPr>
        <w:t>Figure 7. Frozen EEG confirmation result. Participant sub-s3 was not plotted because it did not meet the prespecified stable-period trial minimum.</w:t>
      </w:r>
    </w:p>
    <w:p>
      <w:pPr>
        <w:pStyle w:val="Heading2"/>
        <w:keepNext/>
      </w:pPr>
      <w:r>
        <w:t>8.8 Post-failure estimator comparison</w:t>
      </w:r>
    </w:p>
    <w:p>
      <w:pPr>
        <w:keepLines/>
        <w:spacing w:before="0" w:after="120" w:line="264" w:lineRule="auto"/>
      </w:pPr>
      <w:r>
        <w:rPr>
          <w:rFonts w:ascii="Calibri" w:hAnsi="Calibri"/>
          <w:b w:val="0"/>
          <w:i w:val="0"/>
          <w:color w:val="1A1A1A"/>
          <w:sz w:val="22"/>
        </w:rPr>
        <w:t>The near-ceiling result prompted a formally separated exploratory instrument study. Four candidate estimators were tested on 64-channel synthetic theta signals with five known reconfiguration levels: equal-window phase-locking-value matrices, weighted phase-lag-index matrices, projective LEiDA distributions and Riemannian covariance geometry. Equal 1.3-second pre/post windows were used throughout.</w:t>
      </w:r>
    </w:p>
    <w:p>
      <w:pPr>
        <w:keepLines/>
        <w:spacing w:before="0" w:after="120" w:line="264" w:lineRule="auto"/>
      </w:pPr>
      <w:r>
        <w:rPr>
          <w:rFonts w:ascii="Calibri" w:hAnsi="Calibri"/>
          <w:b w:val="0"/>
          <w:i w:val="0"/>
          <w:color w:val="1A1A1A"/>
          <w:sz w:val="22"/>
        </w:rPr>
        <w:t>The central mitigation was to ask how much more the observed configuration changed than expected from ordinary oscillator evolution. Every synthetic observation was therefore paired with a zero-change counterfactual preserving the same regional frequencies, phase noise, sensor noise and volume mixing. The score was observed distance minus matched expected-drift distance.</w:t>
      </w:r>
    </w:p>
    <w:tbl>
      <w:tblPr>
        <w:tblStyle w:val="TableGrid"/>
        <w:tblW w:type="dxa" w:w="9360"/>
        <w:tblLayout w:type="fixed"/>
        <w:tblLook w:firstColumn="1" w:firstRow="1" w:lastColumn="0" w:lastRow="0" w:noHBand="0" w:noVBand="1" w:val="04A0"/>
        <w:jc w:val="left"/>
        <w:tblInd w:w="120" w:type="dxa"/>
      </w:tblPr>
      <w:tblGrid>
        <w:gridCol w:w="1900"/>
        <w:gridCol w:w="2300"/>
        <w:gridCol w:w="2700"/>
        <w:gridCol w:w="2460"/>
      </w:tblGrid>
      <w:tr>
        <w:tc>
          <w:tcPr>
            <w:tcW w:type="dxa" w:w="1900"/>
            <w:vAlign w:val="center"/>
            <w:tcMar>
              <w:top w:w="80" w:type="dxa"/>
              <w:start w:w="120" w:type="dxa"/>
              <w:bottom w:w="80" w:type="dxa"/>
              <w:end w:w="120" w:type="dxa"/>
            </w:tcMar>
            <w:shd w:fill="E8EEF5"/>
          </w:tcPr>
          <w:p>
            <w:pPr>
              <w:jc w:val="center"/>
            </w:pPr>
            <w:r>
              <w:rPr>
                <w:rFonts w:ascii="Calibri" w:hAnsi="Calibri"/>
                <w:b/>
                <w:i w:val="0"/>
                <w:color w:val="173A52"/>
                <w:sz w:val="20"/>
              </w:rPr>
              <w:t>Estimator</w:t>
            </w:r>
          </w:p>
        </w:tc>
        <w:tc>
          <w:tcPr>
            <w:tcW w:type="dxa" w:w="2300"/>
            <w:vAlign w:val="center"/>
            <w:tcMar>
              <w:top w:w="80" w:type="dxa"/>
              <w:start w:w="120" w:type="dxa"/>
              <w:bottom w:w="80" w:type="dxa"/>
              <w:end w:w="120" w:type="dxa"/>
            </w:tcMar>
            <w:shd w:fill="E8EEF5"/>
          </w:tcPr>
          <w:p>
            <w:pPr>
              <w:jc w:val="center"/>
            </w:pPr>
            <w:r>
              <w:rPr>
                <w:rFonts w:ascii="Calibri" w:hAnsi="Calibri"/>
                <w:b/>
                <w:i w:val="0"/>
                <w:color w:val="173A52"/>
                <w:sz w:val="20"/>
              </w:rPr>
              <w:t>Strength</w:t>
            </w:r>
          </w:p>
        </w:tc>
        <w:tc>
          <w:tcPr>
            <w:tcW w:type="dxa" w:w="2700"/>
            <w:vAlign w:val="center"/>
            <w:tcMar>
              <w:top w:w="80" w:type="dxa"/>
              <w:start w:w="120" w:type="dxa"/>
              <w:bottom w:w="80" w:type="dxa"/>
              <w:end w:w="120" w:type="dxa"/>
            </w:tcMar>
            <w:shd w:fill="E8EEF5"/>
          </w:tcPr>
          <w:p>
            <w:pPr>
              <w:jc w:val="center"/>
            </w:pPr>
            <w:r>
              <w:rPr>
                <w:rFonts w:ascii="Calibri" w:hAnsi="Calibri"/>
                <w:b/>
                <w:i w:val="0"/>
                <w:color w:val="173A52"/>
                <w:sz w:val="20"/>
              </w:rPr>
              <w:t>Failure or boundary</w:t>
            </w:r>
          </w:p>
        </w:tc>
        <w:tc>
          <w:tcPr>
            <w:tcW w:type="dxa" w:w="2460"/>
            <w:vAlign w:val="center"/>
            <w:tcMar>
              <w:top w:w="80" w:type="dxa"/>
              <w:start w:w="120" w:type="dxa"/>
              <w:bottom w:w="80" w:type="dxa"/>
              <w:end w:w="120" w:type="dxa"/>
            </w:tcMar>
            <w:shd w:fill="E8EEF5"/>
          </w:tcPr>
          <w:p>
            <w:pPr>
              <w:jc w:val="center"/>
            </w:pPr>
            <w:r>
              <w:rPr>
                <w:rFonts w:ascii="Calibri" w:hAnsi="Calibri"/>
                <w:b/>
                <w:i w:val="0"/>
                <w:color w:val="173A52"/>
                <w:sz w:val="20"/>
              </w:rPr>
              <w:t>Decision</w:t>
            </w:r>
          </w:p>
        </w:tc>
      </w:tr>
      <w:tr>
        <w:tc>
          <w:tcPr>
            <w:tcW w:type="dxa" w:w="1900"/>
            <w:vAlign w:val="center"/>
            <w:tcMar>
              <w:top w:w="80" w:type="dxa"/>
              <w:start w:w="120" w:type="dxa"/>
              <w:bottom w:w="80" w:type="dxa"/>
              <w:end w:w="120" w:type="dxa"/>
            </w:tcMar>
          </w:tcPr>
          <w:p>
            <w:pPr>
              <w:jc w:val="left"/>
            </w:pPr>
            <w:r>
              <w:rPr>
                <w:rFonts w:ascii="Calibri" w:hAnsi="Calibri"/>
                <w:b w:val="0"/>
                <w:i w:val="0"/>
                <w:color w:val="1A1A1A"/>
                <w:sz w:val="20"/>
              </w:rPr>
              <w:t>Equal-window PLV</w:t>
            </w:r>
          </w:p>
        </w:tc>
        <w:tc>
          <w:tcPr>
            <w:tcW w:type="dxa" w:w="2300"/>
            <w:vAlign w:val="center"/>
            <w:tcMar>
              <w:top w:w="80" w:type="dxa"/>
              <w:start w:w="120" w:type="dxa"/>
              <w:bottom w:w="80" w:type="dxa"/>
              <w:end w:w="120" w:type="dxa"/>
            </w:tcMar>
          </w:tcPr>
          <w:p>
            <w:pPr>
              <w:jc w:val="center"/>
            </w:pPr>
            <w:r>
              <w:rPr>
                <w:rFonts w:ascii="Calibri" w:hAnsi="Calibri"/>
                <w:b w:val="0"/>
                <w:i w:val="0"/>
                <w:color w:val="1A1A1A"/>
                <w:sz w:val="20"/>
              </w:rPr>
              <w:t>Drift-stable</w:t>
            </w:r>
          </w:p>
        </w:tc>
        <w:tc>
          <w:tcPr>
            <w:tcW w:type="dxa" w:w="2700"/>
            <w:vAlign w:val="center"/>
            <w:tcMar>
              <w:top w:w="80" w:type="dxa"/>
              <w:start w:w="120" w:type="dxa"/>
              <w:bottom w:w="80" w:type="dxa"/>
              <w:end w:w="120" w:type="dxa"/>
            </w:tcMar>
          </w:tcPr>
          <w:p>
            <w:pPr>
              <w:jc w:val="center"/>
            </w:pPr>
            <w:r>
              <w:rPr>
                <w:rFonts w:ascii="Calibri" w:hAnsi="Calibri"/>
                <w:b w:val="0"/>
                <w:i w:val="0"/>
                <w:color w:val="1A1A1A"/>
                <w:sz w:val="20"/>
              </w:rPr>
              <w:t>Blind to fixed phase-topology change</w:t>
            </w:r>
          </w:p>
        </w:tc>
        <w:tc>
          <w:tcPr>
            <w:tcW w:type="dxa" w:w="2460"/>
            <w:vAlign w:val="center"/>
            <w:tcMar>
              <w:top w:w="80" w:type="dxa"/>
              <w:start w:w="120" w:type="dxa"/>
              <w:bottom w:w="80" w:type="dxa"/>
              <w:end w:w="120" w:type="dxa"/>
            </w:tcMar>
          </w:tcPr>
          <w:p>
            <w:pPr>
              <w:jc w:val="center"/>
            </w:pPr>
            <w:r>
              <w:rPr>
                <w:rFonts w:ascii="Calibri" w:hAnsi="Calibri"/>
                <w:b w:val="0"/>
                <w:i w:val="0"/>
                <w:color w:val="1A1A1A"/>
                <w:sz w:val="20"/>
              </w:rPr>
              <w:t>Reject for primary question</w:t>
            </w:r>
          </w:p>
        </w:tc>
      </w:tr>
      <w:tr>
        <w:tc>
          <w:tcPr>
            <w:tcW w:type="dxa" w:w="1900"/>
            <w:vAlign w:val="center"/>
            <w:tcMar>
              <w:top w:w="80" w:type="dxa"/>
              <w:start w:w="120" w:type="dxa"/>
              <w:bottom w:w="80" w:type="dxa"/>
              <w:end w:w="120" w:type="dxa"/>
            </w:tcMar>
          </w:tcPr>
          <w:p>
            <w:pPr>
              <w:jc w:val="left"/>
            </w:pPr>
            <w:r>
              <w:rPr>
                <w:rFonts w:ascii="Calibri" w:hAnsi="Calibri"/>
                <w:b w:val="0"/>
                <w:i w:val="0"/>
                <w:color w:val="1A1A1A"/>
                <w:sz w:val="20"/>
              </w:rPr>
              <w:t>Equal-window wPLI</w:t>
            </w:r>
          </w:p>
        </w:tc>
        <w:tc>
          <w:tcPr>
            <w:tcW w:type="dxa" w:w="2300"/>
            <w:vAlign w:val="center"/>
            <w:tcMar>
              <w:top w:w="80" w:type="dxa"/>
              <w:start w:w="120" w:type="dxa"/>
              <w:bottom w:w="80" w:type="dxa"/>
              <w:end w:w="120" w:type="dxa"/>
            </w:tcMar>
          </w:tcPr>
          <w:p>
            <w:pPr>
              <w:jc w:val="center"/>
            </w:pPr>
            <w:r>
              <w:rPr>
                <w:rFonts w:ascii="Calibri" w:hAnsi="Calibri"/>
                <w:b w:val="0"/>
                <w:i w:val="0"/>
                <w:color w:val="1A1A1A"/>
                <w:sz w:val="20"/>
              </w:rPr>
              <w:t>Lagged coupling; mixing-resistant</w:t>
            </w:r>
          </w:p>
        </w:tc>
        <w:tc>
          <w:tcPr>
            <w:tcW w:type="dxa" w:w="2700"/>
            <w:vAlign w:val="center"/>
            <w:tcMar>
              <w:top w:w="80" w:type="dxa"/>
              <w:start w:w="120" w:type="dxa"/>
              <w:bottom w:w="80" w:type="dxa"/>
              <w:end w:w="120" w:type="dxa"/>
            </w:tcMar>
          </w:tcPr>
          <w:p>
            <w:pPr>
              <w:jc w:val="center"/>
            </w:pPr>
            <w:r>
              <w:rPr>
                <w:rFonts w:ascii="Calibri" w:hAnsi="Calibri"/>
                <w:b w:val="0"/>
                <w:i w:val="0"/>
                <w:color w:val="1A1A1A"/>
                <w:sz w:val="20"/>
              </w:rPr>
              <w:t>Lost sensitivity with frequency heterogeneity</w:t>
            </w:r>
          </w:p>
        </w:tc>
        <w:tc>
          <w:tcPr>
            <w:tcW w:type="dxa" w:w="2460"/>
            <w:vAlign w:val="center"/>
            <w:tcMar>
              <w:top w:w="80" w:type="dxa"/>
              <w:start w:w="120" w:type="dxa"/>
              <w:bottom w:w="80" w:type="dxa"/>
              <w:end w:w="120" w:type="dxa"/>
            </w:tcMar>
          </w:tcPr>
          <w:p>
            <w:pPr>
              <w:jc w:val="center"/>
            </w:pPr>
            <w:r>
              <w:rPr>
                <w:rFonts w:ascii="Calibri" w:hAnsi="Calibri"/>
                <w:b w:val="0"/>
                <w:i w:val="0"/>
                <w:color w:val="1A1A1A"/>
                <w:sz w:val="20"/>
              </w:rPr>
              <w:t>Retain as secondary</w:t>
            </w:r>
          </w:p>
        </w:tc>
      </w:tr>
      <w:tr>
        <w:tc>
          <w:tcPr>
            <w:tcW w:type="dxa" w:w="1900"/>
            <w:vAlign w:val="center"/>
            <w:tcMar>
              <w:top w:w="80" w:type="dxa"/>
              <w:start w:w="120" w:type="dxa"/>
              <w:bottom w:w="80" w:type="dxa"/>
              <w:end w:w="120" w:type="dxa"/>
            </w:tcMar>
          </w:tcPr>
          <w:p>
            <w:pPr>
              <w:jc w:val="left"/>
            </w:pPr>
            <w:r>
              <w:rPr>
                <w:rFonts w:ascii="Calibri" w:hAnsi="Calibri"/>
                <w:b w:val="0"/>
                <w:i w:val="0"/>
                <w:color w:val="1A1A1A"/>
                <w:sz w:val="20"/>
              </w:rPr>
              <w:t>Projective LEiDA</w:t>
            </w:r>
          </w:p>
        </w:tc>
        <w:tc>
          <w:tcPr>
            <w:tcW w:type="dxa" w:w="2300"/>
            <w:vAlign w:val="center"/>
            <w:tcMar>
              <w:top w:w="80" w:type="dxa"/>
              <w:start w:w="120" w:type="dxa"/>
              <w:bottom w:w="80" w:type="dxa"/>
              <w:end w:w="120" w:type="dxa"/>
            </w:tcMar>
          </w:tcPr>
          <w:p>
            <w:pPr>
              <w:jc w:val="center"/>
            </w:pPr>
            <w:r>
              <w:rPr>
                <w:rFonts w:ascii="Calibri" w:hAnsi="Calibri"/>
                <w:b w:val="0"/>
                <w:i w:val="0"/>
                <w:color w:val="1A1A1A"/>
                <w:sz w:val="20"/>
              </w:rPr>
              <w:t>Sensitive under noise and mixing</w:t>
            </w:r>
          </w:p>
        </w:tc>
        <w:tc>
          <w:tcPr>
            <w:tcW w:type="dxa" w:w="2700"/>
            <w:vAlign w:val="center"/>
            <w:tcMar>
              <w:top w:w="80" w:type="dxa"/>
              <w:start w:w="120" w:type="dxa"/>
              <w:bottom w:w="80" w:type="dxa"/>
              <w:end w:w="120" w:type="dxa"/>
            </w:tcMar>
          </w:tcPr>
          <w:p>
            <w:pPr>
              <w:jc w:val="center"/>
            </w:pPr>
            <w:r>
              <w:rPr>
                <w:rFonts w:ascii="Calibri" w:hAnsi="Calibri"/>
                <w:b w:val="0"/>
                <w:i w:val="0"/>
                <w:color w:val="1A1A1A"/>
                <w:sz w:val="20"/>
              </w:rPr>
              <w:t>Short-window drift dominated distributions</w:t>
            </w:r>
          </w:p>
        </w:tc>
        <w:tc>
          <w:tcPr>
            <w:tcW w:type="dxa" w:w="2460"/>
            <w:vAlign w:val="center"/>
            <w:tcMar>
              <w:top w:w="80" w:type="dxa"/>
              <w:start w:w="120" w:type="dxa"/>
              <w:bottom w:w="80" w:type="dxa"/>
              <w:end w:w="120" w:type="dxa"/>
            </w:tcMar>
          </w:tcPr>
          <w:p>
            <w:pPr>
              <w:jc w:val="center"/>
            </w:pPr>
            <w:r>
              <w:rPr>
                <w:rFonts w:ascii="Calibri" w:hAnsi="Calibri"/>
                <w:b w:val="0"/>
                <w:i w:val="0"/>
                <w:color w:val="1A1A1A"/>
                <w:sz w:val="20"/>
              </w:rPr>
              <w:t>Requires explicit drift model</w:t>
            </w:r>
          </w:p>
        </w:tc>
      </w:tr>
      <w:tr>
        <w:tc>
          <w:tcPr>
            <w:tcW w:type="dxa" w:w="1900"/>
            <w:vAlign w:val="center"/>
            <w:tcMar>
              <w:top w:w="80" w:type="dxa"/>
              <w:start w:w="120" w:type="dxa"/>
              <w:bottom w:w="80" w:type="dxa"/>
              <w:end w:w="120" w:type="dxa"/>
            </w:tcMar>
          </w:tcPr>
          <w:p>
            <w:pPr>
              <w:jc w:val="left"/>
            </w:pPr>
            <w:r>
              <w:rPr>
                <w:rFonts w:ascii="Calibri" w:hAnsi="Calibri"/>
                <w:b w:val="0"/>
                <w:i w:val="0"/>
                <w:color w:val="1A1A1A"/>
                <w:sz w:val="20"/>
              </w:rPr>
              <w:t>Riemannian covariance</w:t>
            </w:r>
          </w:p>
        </w:tc>
        <w:tc>
          <w:tcPr>
            <w:tcW w:type="dxa" w:w="2300"/>
            <w:vAlign w:val="center"/>
            <w:tcMar>
              <w:top w:w="80" w:type="dxa"/>
              <w:start w:w="120" w:type="dxa"/>
              <w:bottom w:w="80" w:type="dxa"/>
              <w:end w:w="120" w:type="dxa"/>
            </w:tcMar>
          </w:tcPr>
          <w:p>
            <w:pPr>
              <w:jc w:val="center"/>
            </w:pPr>
            <w:r>
              <w:rPr>
                <w:rFonts w:ascii="Calibri" w:hAnsi="Calibri"/>
                <w:b w:val="0"/>
                <w:i w:val="0"/>
                <w:color w:val="1A1A1A"/>
                <w:sz w:val="20"/>
              </w:rPr>
              <w:t>Strongest overall ordering</w:t>
            </w:r>
          </w:p>
        </w:tc>
        <w:tc>
          <w:tcPr>
            <w:tcW w:type="dxa" w:w="2700"/>
            <w:vAlign w:val="center"/>
            <w:tcMar>
              <w:top w:w="80" w:type="dxa"/>
              <w:start w:w="120" w:type="dxa"/>
              <w:bottom w:w="80" w:type="dxa"/>
              <w:end w:w="120" w:type="dxa"/>
            </w:tcMar>
          </w:tcPr>
          <w:p>
            <w:pPr>
              <w:jc w:val="center"/>
            </w:pPr>
            <w:r>
              <w:rPr>
                <w:rFonts w:ascii="Calibri" w:hAnsi="Calibri"/>
                <w:b w:val="0"/>
                <w:i w:val="0"/>
                <w:color w:val="1A1A1A"/>
                <w:sz w:val="20"/>
              </w:rPr>
              <w:t>Broader than phase; small realistic residual</w:t>
            </w:r>
          </w:p>
        </w:tc>
        <w:tc>
          <w:tcPr>
            <w:tcW w:type="dxa" w:w="2460"/>
            <w:vAlign w:val="center"/>
            <w:tcMar>
              <w:top w:w="80" w:type="dxa"/>
              <w:start w:w="120" w:type="dxa"/>
              <w:bottom w:w="80" w:type="dxa"/>
              <w:end w:w="120" w:type="dxa"/>
            </w:tcMar>
          </w:tcPr>
          <w:p>
            <w:pPr>
              <w:jc w:val="center"/>
            </w:pPr>
            <w:r>
              <w:rPr>
                <w:rFonts w:ascii="Calibri" w:hAnsi="Calibri"/>
                <w:b w:val="0"/>
                <w:i w:val="0"/>
                <w:color w:val="1A1A1A"/>
                <w:sz w:val="20"/>
              </w:rPr>
              <w:t>Retain as leading parallel candidate</w:t>
            </w:r>
          </w:p>
        </w:tc>
      </w:tr>
    </w:tbl>
    <w:p>
      <w:pPr>
        <w:spacing w:after="60"/>
      </w:pPr>
    </w:p>
    <w:p>
      <w:pPr>
        <w:keepLines/>
        <w:spacing w:before="0" w:after="120" w:line="264" w:lineRule="auto"/>
      </w:pPr>
      <w:r>
        <w:rPr>
          <w:rFonts w:ascii="Calibri" w:hAnsi="Calibri"/>
          <w:b w:val="0"/>
          <w:i w:val="0"/>
          <w:color w:val="1A1A1A"/>
          <w:sz w:val="22"/>
        </w:rPr>
        <w:t>Riemannian covariance was the strongest overall candidate. It remained perfectly ordered under isolated frequency drift and achieved a Spearman ordering of 0.90 under combined realistic confounds, although its realistic dynamic range was small and its final two levels were not strictly monotonic. No tested raw distance was sufficiently robust to become the new primary endpoint.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2F4F7"/>
          </w:tcPr>
          <w:p>
            <w:pPr>
              <w:spacing w:after="40"/>
            </w:pPr>
            <w:r>
              <w:rPr>
                <w:rFonts w:ascii="Calibri" w:hAnsi="Calibri"/>
                <w:b/>
                <w:i w:val="0"/>
                <w:color w:val="173A52"/>
                <w:sz w:val="22"/>
              </w:rPr>
              <w:t xml:space="preserve">Methodological result: </w:t>
            </w:r>
            <w:r>
              <w:rPr>
                <w:rFonts w:ascii="Calibri" w:hAnsi="Calibri"/>
                <w:b w:val="0"/>
                <w:i w:val="0"/>
                <w:color w:val="1A1A1A"/>
                <w:sz w:val="22"/>
              </w:rPr>
              <w:t>Equal-duration windows alone do not solve the construct problem, and subtracting an average null is insufficient. Reversal-related change must be evaluated against a trial-specific prediction of ordinary oscillator evolution.</w:t>
            </w:r>
          </w:p>
        </w:tc>
      </w:tr>
    </w:tbl>
    <w:p>
      <w:pPr>
        <w:spacing w:after="40"/>
      </w:pPr>
    </w:p>
    <w:p>
      <w:pPr>
        <w:keepNext/>
        <w:jc w:val="center"/>
      </w:pPr>
      <w:r>
        <w:drawing>
          <wp:inline xmlns:a="http://schemas.openxmlformats.org/drawingml/2006/main" xmlns:pic="http://schemas.openxmlformats.org/drawingml/2006/picture">
            <wp:extent cx="5669280" cy="4123113"/>
            <wp:docPr id="8" name="Picture 8"/>
            <wp:cNvGraphicFramePr>
              <a:graphicFrameLocks noChangeAspect="1"/>
            </wp:cNvGraphicFramePr>
            <a:graphic>
              <a:graphicData uri="http://schemas.openxmlformats.org/drawingml/2006/picture">
                <pic:pic>
                  <pic:nvPicPr>
                    <pic:cNvPr id="0" name="eeg_reconfiguration_estimator_comparison.png"/>
                    <pic:cNvPicPr/>
                  </pic:nvPicPr>
                  <pic:blipFill>
                    <a:blip r:embed="rId18"/>
                    <a:stretch>
                      <a:fillRect/>
                    </a:stretch>
                  </pic:blipFill>
                  <pic:spPr>
                    <a:xfrm>
                      <a:off x="0" y="0"/>
                      <a:ext cx="5669280" cy="4123113"/>
                    </a:xfrm>
                    <a:prstGeom prst="rect"/>
                  </pic:spPr>
                </pic:pic>
              </a:graphicData>
            </a:graphic>
          </wp:inline>
        </w:drawing>
      </w:r>
    </w:p>
    <w:p>
      <w:pPr>
        <w:spacing w:before="60" w:after="160"/>
        <w:jc w:val="center"/>
      </w:pPr>
      <w:r>
        <w:rPr>
          <w:rFonts w:ascii="Calibri" w:hAnsi="Calibri"/>
          <w:b w:val="0"/>
          <w:i/>
          <w:color w:val="68717A"/>
          <w:sz w:val="18"/>
        </w:rPr>
        <w:t>Figure 8. Drift-calibrated comparison of four EEG reconfiguration estimators across known synthetic changes and increasingly realistic confounds.</w:t>
      </w:r>
    </w:p>
    <w:p>
      <w:pPr>
        <w:keepLines/>
        <w:spacing w:before="0" w:after="120" w:line="264" w:lineRule="auto"/>
      </w:pPr>
      <w:r>
        <w:rPr>
          <w:rFonts w:ascii="Calibri" w:hAnsi="Calibri"/>
          <w:b w:val="0"/>
          <w:i w:val="0"/>
          <w:color w:val="1A1A1A"/>
          <w:sz w:val="22"/>
        </w:rPr>
        <w:t>The next instrument will estimate each channel’s pre-feedback phase trajectory, extrapolate its expected post-feedback evolution and quantify the residual between observed and predicted organization. Stable pseudo-events will establish prediction error in the absence of reversal. Residual phase topology, residual LEiDA, Riemannian covariance and wPLI will then be compared before a revised estimator is frozen for untouched participants.</w:t>
      </w:r>
    </w:p>
    <w:p>
      <w:pPr>
        <w:pStyle w:val="Heading1"/>
        <w:keepNext/>
      </w:pPr>
      <w:r>
        <w:t>9. Update protocol</w:t>
      </w:r>
    </w:p>
    <w:p>
      <w:pPr>
        <w:keepLines/>
        <w:spacing w:before="0" w:after="120" w:line="264" w:lineRule="auto"/>
      </w:pPr>
      <w:r>
        <w:rPr>
          <w:rFonts w:ascii="Calibri" w:hAnsi="Calibri"/>
          <w:b w:val="0"/>
          <w:i w:val="0"/>
          <w:color w:val="1A1A1A"/>
          <w:sz w:val="22"/>
        </w:rPr>
        <w:t>After each substantive milestone, update this report with: the exact question, the controlled manipulation, preserved quantities, simulation and biological sample sizes, primary numerical results, a plain-language interpretation, limitations, output paths and the next decision. Clearly separate confirmatory tests from exploratory analyses.</w:t>
      </w:r>
    </w:p>
    <w:p>
      <w:pPr>
        <w:pStyle w:val="Heading1"/>
        <w:keepNext/>
      </w:pPr>
      <w:r>
        <w:t>10. Reproducibility index</w:t>
      </w:r>
    </w:p>
    <w:tbl>
      <w:tblPr>
        <w:tblStyle w:val="TableGrid"/>
        <w:tblW w:type="dxa" w:w="9360"/>
        <w:tblLayout w:type="fixed"/>
        <w:tblLook w:firstColumn="1" w:firstRow="1" w:lastColumn="0" w:lastRow="0" w:noHBand="0" w:noVBand="1" w:val="04A0"/>
        <w:jc w:val="left"/>
        <w:tblInd w:w="120" w:type="dxa"/>
      </w:tblPr>
      <w:tblGrid>
        <w:gridCol w:w="3600"/>
        <w:gridCol w:w="5760"/>
      </w:tblGrid>
      <w:tr>
        <w:tc>
          <w:tcPr>
            <w:tcW w:type="dxa" w:w="3600"/>
            <w:vAlign w:val="center"/>
            <w:tcMar>
              <w:top w:w="80" w:type="dxa"/>
              <w:start w:w="120" w:type="dxa"/>
              <w:bottom w:w="80" w:type="dxa"/>
              <w:end w:w="120" w:type="dxa"/>
            </w:tcMar>
            <w:shd w:fill="E8EEF5"/>
          </w:tcPr>
          <w:p>
            <w:pPr>
              <w:jc w:val="center"/>
            </w:pPr>
            <w:r>
              <w:rPr>
                <w:rFonts w:ascii="Calibri" w:hAnsi="Calibri"/>
                <w:b/>
                <w:i w:val="0"/>
                <w:color w:val="173A52"/>
                <w:sz w:val="20"/>
              </w:rPr>
              <w:t>Artifact</w:t>
            </w:r>
          </w:p>
        </w:tc>
        <w:tc>
          <w:tcPr>
            <w:tcW w:type="dxa" w:w="5760"/>
            <w:vAlign w:val="center"/>
            <w:tcMar>
              <w:top w:w="80" w:type="dxa"/>
              <w:start w:w="120" w:type="dxa"/>
              <w:bottom w:w="80" w:type="dxa"/>
              <w:end w:w="120" w:type="dxa"/>
            </w:tcMar>
            <w:shd w:fill="E8EEF5"/>
          </w:tcPr>
          <w:p>
            <w:pPr>
              <w:jc w:val="center"/>
            </w:pPr>
            <w:r>
              <w:rPr>
                <w:rFonts w:ascii="Calibri" w:hAnsi="Calibri"/>
                <w:b/>
                <w:i w:val="0"/>
                <w:color w:val="173A52"/>
                <w:sz w:val="20"/>
              </w:rPr>
              <w:t>Location</w:t>
            </w:r>
          </w:p>
        </w:tc>
      </w:tr>
      <w:tr>
        <w:tc>
          <w:tcPr>
            <w:tcW w:type="dxa" w:w="3600"/>
            <w:vAlign w:val="center"/>
            <w:tcMar>
              <w:top w:w="80" w:type="dxa"/>
              <w:start w:w="120" w:type="dxa"/>
              <w:bottom w:w="80" w:type="dxa"/>
              <w:end w:w="120" w:type="dxa"/>
            </w:tcMar>
          </w:tcPr>
          <w:p>
            <w:pPr>
              <w:jc w:val="left"/>
            </w:pPr>
            <w:r>
              <w:rPr>
                <w:rFonts w:ascii="Calibri" w:hAnsi="Calibri"/>
                <w:b w:val="0"/>
                <w:i w:val="0"/>
                <w:color w:val="1A1A1A"/>
                <w:sz w:val="20"/>
              </w:rPr>
              <w:t>Project roadmap</w:t>
            </w:r>
          </w:p>
        </w:tc>
        <w:tc>
          <w:tcPr>
            <w:tcW w:type="dxa" w:w="5760"/>
            <w:vAlign w:val="center"/>
            <w:tcMar>
              <w:top w:w="80" w:type="dxa"/>
              <w:start w:w="120" w:type="dxa"/>
              <w:bottom w:w="80" w:type="dxa"/>
              <w:end w:w="120" w:type="dxa"/>
            </w:tcMar>
          </w:tcPr>
          <w:p>
            <w:pPr>
              <w:jc w:val="center"/>
            </w:pPr>
            <w:r>
              <w:rPr>
                <w:rFonts w:ascii="Calibri" w:hAnsi="Calibri"/>
                <w:b w:val="0"/>
                <w:i w:val="0"/>
                <w:color w:val="1A1A1A"/>
                <w:sz w:val="20"/>
              </w:rPr>
              <w:t>PROJECT_OUTLINE.md</w:t>
            </w:r>
          </w:p>
        </w:tc>
      </w:tr>
      <w:tr>
        <w:tc>
          <w:tcPr>
            <w:tcW w:type="dxa" w:w="3600"/>
            <w:vAlign w:val="center"/>
            <w:tcMar>
              <w:top w:w="80" w:type="dxa"/>
              <w:start w:w="120" w:type="dxa"/>
              <w:bottom w:w="80" w:type="dxa"/>
              <w:end w:w="120" w:type="dxa"/>
            </w:tcMar>
          </w:tcPr>
          <w:p>
            <w:pPr>
              <w:jc w:val="left"/>
            </w:pPr>
            <w:r>
              <w:rPr>
                <w:rFonts w:ascii="Calibri" w:hAnsi="Calibri"/>
                <w:b w:val="0"/>
                <w:i w:val="0"/>
                <w:color w:val="1A1A1A"/>
                <w:sz w:val="20"/>
              </w:rPr>
              <w:t>Upstream version record</w:t>
            </w:r>
          </w:p>
        </w:tc>
        <w:tc>
          <w:tcPr>
            <w:tcW w:type="dxa" w:w="5760"/>
            <w:vAlign w:val="center"/>
            <w:tcMar>
              <w:top w:w="80" w:type="dxa"/>
              <w:start w:w="120" w:type="dxa"/>
              <w:bottom w:w="80" w:type="dxa"/>
              <w:end w:w="120" w:type="dxa"/>
            </w:tcMar>
          </w:tcPr>
          <w:p>
            <w:pPr>
              <w:jc w:val="center"/>
            </w:pPr>
            <w:r>
              <w:rPr>
                <w:rFonts w:ascii="Calibri" w:hAnsi="Calibri"/>
                <w:b w:val="0"/>
                <w:i w:val="0"/>
                <w:color w:val="1A1A1A"/>
                <w:sz w:val="20"/>
              </w:rPr>
              <w:t>configs/upstream_version.txt</w:t>
            </w:r>
          </w:p>
        </w:tc>
      </w:tr>
      <w:tr>
        <w:tc>
          <w:tcPr>
            <w:tcW w:type="dxa" w:w="3600"/>
            <w:vAlign w:val="center"/>
            <w:tcMar>
              <w:top w:w="80" w:type="dxa"/>
              <w:start w:w="120" w:type="dxa"/>
              <w:bottom w:w="80" w:type="dxa"/>
              <w:end w:w="120" w:type="dxa"/>
            </w:tcMar>
          </w:tcPr>
          <w:p>
            <w:pPr>
              <w:jc w:val="left"/>
            </w:pPr>
            <w:r>
              <w:rPr>
                <w:rFonts w:ascii="Calibri" w:hAnsi="Calibri"/>
                <w:b w:val="0"/>
                <w:i w:val="0"/>
                <w:color w:val="1A1A1A"/>
                <w:sz w:val="20"/>
              </w:rPr>
              <w:t>Upstream modification notes</w:t>
            </w:r>
          </w:p>
        </w:tc>
        <w:tc>
          <w:tcPr>
            <w:tcW w:type="dxa" w:w="5760"/>
            <w:vAlign w:val="center"/>
            <w:tcMar>
              <w:top w:w="80" w:type="dxa"/>
              <w:start w:w="120" w:type="dxa"/>
              <w:bottom w:w="80" w:type="dxa"/>
              <w:end w:w="120" w:type="dxa"/>
            </w:tcMar>
          </w:tcPr>
          <w:p>
            <w:pPr>
              <w:jc w:val="center"/>
            </w:pPr>
            <w:r>
              <w:rPr>
                <w:rFonts w:ascii="Calibri" w:hAnsi="Calibri"/>
                <w:b w:val="0"/>
                <w:i w:val="0"/>
                <w:color w:val="1A1A1A"/>
                <w:sz w:val="20"/>
              </w:rPr>
              <w:t>configs/upstream_patch_notes.md</w:t>
            </w:r>
          </w:p>
        </w:tc>
      </w:tr>
      <w:tr>
        <w:tc>
          <w:tcPr>
            <w:tcW w:type="dxa" w:w="3600"/>
            <w:vAlign w:val="center"/>
            <w:tcMar>
              <w:top w:w="80" w:type="dxa"/>
              <w:start w:w="120" w:type="dxa"/>
              <w:bottom w:w="80" w:type="dxa"/>
              <w:end w:w="120" w:type="dxa"/>
            </w:tcMar>
          </w:tcPr>
          <w:p>
            <w:pPr>
              <w:jc w:val="left"/>
            </w:pPr>
            <w:r>
              <w:rPr>
                <w:rFonts w:ascii="Calibri" w:hAnsi="Calibri"/>
                <w:b w:val="0"/>
                <w:i w:val="0"/>
                <w:color w:val="1A1A1A"/>
                <w:sz w:val="20"/>
              </w:rPr>
              <w:t>Core optimization results</w:t>
            </w:r>
          </w:p>
        </w:tc>
        <w:tc>
          <w:tcPr>
            <w:tcW w:type="dxa" w:w="5760"/>
            <w:vAlign w:val="center"/>
            <w:tcMar>
              <w:top w:w="80" w:type="dxa"/>
              <w:start w:w="120" w:type="dxa"/>
              <w:bottom w:w="80" w:type="dxa"/>
              <w:end w:w="120" w:type="dxa"/>
            </w:tcMar>
          </w:tcPr>
          <w:p>
            <w:pPr>
              <w:jc w:val="center"/>
            </w:pPr>
            <w:r>
              <w:rPr>
                <w:rFonts w:ascii="Calibri" w:hAnsi="Calibri"/>
                <w:b w:val="0"/>
                <w:i w:val="0"/>
                <w:color w:val="1A1A1A"/>
                <w:sz w:val="20"/>
              </w:rPr>
              <w:t>results/single_subject_optimization/</w:t>
            </w:r>
          </w:p>
        </w:tc>
      </w:tr>
      <w:tr>
        <w:tc>
          <w:tcPr>
            <w:tcW w:type="dxa" w:w="3600"/>
            <w:vAlign w:val="center"/>
            <w:tcMar>
              <w:top w:w="80" w:type="dxa"/>
              <w:start w:w="120" w:type="dxa"/>
              <w:bottom w:w="80" w:type="dxa"/>
              <w:end w:w="120" w:type="dxa"/>
            </w:tcMar>
          </w:tcPr>
          <w:p>
            <w:pPr>
              <w:jc w:val="left"/>
            </w:pPr>
            <w:r>
              <w:rPr>
                <w:rFonts w:ascii="Calibri" w:hAnsi="Calibri"/>
                <w:b w:val="0"/>
                <w:i w:val="0"/>
                <w:color w:val="1A1A1A"/>
                <w:sz w:val="20"/>
              </w:rPr>
              <w:t>Frozen stochastic evaluation</w:t>
            </w:r>
          </w:p>
        </w:tc>
        <w:tc>
          <w:tcPr>
            <w:tcW w:type="dxa" w:w="5760"/>
            <w:vAlign w:val="center"/>
            <w:tcMar>
              <w:top w:w="80" w:type="dxa"/>
              <w:start w:w="120" w:type="dxa"/>
              <w:bottom w:w="80" w:type="dxa"/>
              <w:end w:w="120" w:type="dxa"/>
            </w:tcMar>
          </w:tcPr>
          <w:p>
            <w:pPr>
              <w:jc w:val="center"/>
            </w:pPr>
            <w:r>
              <w:rPr>
                <w:rFonts w:ascii="Calibri" w:hAnsi="Calibri"/>
                <w:b w:val="0"/>
                <w:i w:val="0"/>
                <w:color w:val="1A1A1A"/>
                <w:sz w:val="20"/>
              </w:rPr>
              <w:t>results/frozen_gc_evaluation/</w:t>
            </w:r>
          </w:p>
        </w:tc>
      </w:tr>
      <w:tr>
        <w:tc>
          <w:tcPr>
            <w:tcW w:type="dxa" w:w="3600"/>
            <w:vAlign w:val="center"/>
            <w:tcMar>
              <w:top w:w="80" w:type="dxa"/>
              <w:start w:w="120" w:type="dxa"/>
              <w:bottom w:w="80" w:type="dxa"/>
              <w:end w:w="120" w:type="dxa"/>
            </w:tcMar>
          </w:tcPr>
          <w:p>
            <w:pPr>
              <w:jc w:val="left"/>
            </w:pPr>
            <w:r>
              <w:rPr>
                <w:rFonts w:ascii="Calibri" w:hAnsi="Calibri"/>
                <w:b w:val="0"/>
                <w:i w:val="0"/>
                <w:color w:val="1A1A1A"/>
                <w:sz w:val="20"/>
              </w:rPr>
              <w:t>Whole-weight placement null</w:t>
            </w:r>
          </w:p>
        </w:tc>
        <w:tc>
          <w:tcPr>
            <w:tcW w:type="dxa" w:w="5760"/>
            <w:vAlign w:val="center"/>
            <w:tcMar>
              <w:top w:w="80" w:type="dxa"/>
              <w:start w:w="120" w:type="dxa"/>
              <w:bottom w:w="80" w:type="dxa"/>
              <w:end w:w="120" w:type="dxa"/>
            </w:tcMar>
          </w:tcPr>
          <w:p>
            <w:pPr>
              <w:jc w:val="center"/>
            </w:pPr>
            <w:r>
              <w:rPr>
                <w:rFonts w:ascii="Calibri" w:hAnsi="Calibri"/>
                <w:b w:val="0"/>
                <w:i w:val="0"/>
                <w:color w:val="1A1A1A"/>
                <w:sz w:val="20"/>
              </w:rPr>
              <w:t>results/weight_placement_null/</w:t>
            </w:r>
          </w:p>
        </w:tc>
      </w:tr>
      <w:tr>
        <w:tc>
          <w:tcPr>
            <w:tcW w:type="dxa" w:w="3600"/>
            <w:vAlign w:val="center"/>
            <w:tcMar>
              <w:top w:w="80" w:type="dxa"/>
              <w:start w:w="120" w:type="dxa"/>
              <w:bottom w:w="80" w:type="dxa"/>
              <w:end w:w="120" w:type="dxa"/>
            </w:tcMar>
          </w:tcPr>
          <w:p>
            <w:pPr>
              <w:jc w:val="left"/>
            </w:pPr>
            <w:r>
              <w:rPr>
                <w:rFonts w:ascii="Calibri" w:hAnsi="Calibri"/>
                <w:b w:val="0"/>
                <w:i w:val="0"/>
                <w:color w:val="1A1A1A"/>
                <w:sz w:val="20"/>
              </w:rPr>
              <w:t>Sign-specific organization</w:t>
            </w:r>
          </w:p>
        </w:tc>
        <w:tc>
          <w:tcPr>
            <w:tcW w:type="dxa" w:w="5760"/>
            <w:vAlign w:val="center"/>
            <w:tcMar>
              <w:top w:w="80" w:type="dxa"/>
              <w:start w:w="120" w:type="dxa"/>
              <w:bottom w:w="80" w:type="dxa"/>
              <w:end w:w="120" w:type="dxa"/>
            </w:tcMar>
          </w:tcPr>
          <w:p>
            <w:pPr>
              <w:jc w:val="center"/>
            </w:pPr>
            <w:r>
              <w:rPr>
                <w:rFonts w:ascii="Calibri" w:hAnsi="Calibri"/>
                <w:b w:val="0"/>
                <w:i w:val="0"/>
                <w:color w:val="1A1A1A"/>
                <w:sz w:val="20"/>
              </w:rPr>
              <w:t>results/sign_specific_organization/</w:t>
            </w:r>
          </w:p>
        </w:tc>
      </w:tr>
      <w:tr>
        <w:tc>
          <w:tcPr>
            <w:tcW w:type="dxa" w:w="3600"/>
            <w:vAlign w:val="center"/>
            <w:tcMar>
              <w:top w:w="80" w:type="dxa"/>
              <w:start w:w="120" w:type="dxa"/>
              <w:bottom w:w="80" w:type="dxa"/>
              <w:end w:w="120" w:type="dxa"/>
            </w:tcMar>
          </w:tcPr>
          <w:p>
            <w:pPr>
              <w:jc w:val="left"/>
            </w:pPr>
            <w:r>
              <w:rPr>
                <w:rFonts w:ascii="Calibri" w:hAnsi="Calibri"/>
                <w:b w:val="0"/>
                <w:i w:val="0"/>
                <w:color w:val="1A1A1A"/>
                <w:sz w:val="20"/>
              </w:rPr>
              <w:t>Anatomical sign-map null</w:t>
            </w:r>
          </w:p>
        </w:tc>
        <w:tc>
          <w:tcPr>
            <w:tcW w:type="dxa" w:w="5760"/>
            <w:vAlign w:val="center"/>
            <w:tcMar>
              <w:top w:w="80" w:type="dxa"/>
              <w:start w:w="120" w:type="dxa"/>
              <w:bottom w:w="80" w:type="dxa"/>
              <w:end w:w="120" w:type="dxa"/>
            </w:tcMar>
          </w:tcPr>
          <w:p>
            <w:pPr>
              <w:jc w:val="center"/>
            </w:pPr>
            <w:r>
              <w:rPr>
                <w:rFonts w:ascii="Calibri" w:hAnsi="Calibri"/>
                <w:b w:val="0"/>
                <w:i w:val="0"/>
                <w:color w:val="1A1A1A"/>
                <w:sz w:val="20"/>
              </w:rPr>
              <w:t>results/sign_map_null/</w:t>
            </w:r>
          </w:p>
        </w:tc>
      </w:tr>
      <w:tr>
        <w:tc>
          <w:tcPr>
            <w:tcW w:type="dxa" w:w="3600"/>
            <w:vAlign w:val="center"/>
            <w:tcMar>
              <w:top w:w="80" w:type="dxa"/>
              <w:start w:w="120" w:type="dxa"/>
              <w:bottom w:w="80" w:type="dxa"/>
              <w:end w:w="120" w:type="dxa"/>
            </w:tcMar>
          </w:tcPr>
          <w:p>
            <w:pPr>
              <w:jc w:val="left"/>
            </w:pPr>
            <w:r>
              <w:rPr>
                <w:rFonts w:ascii="Calibri" w:hAnsi="Calibri"/>
                <w:b w:val="0"/>
                <w:i w:val="0"/>
                <w:color w:val="1A1A1A"/>
                <w:sz w:val="20"/>
              </w:rPr>
              <w:t>Continuous LEiDA landscape</w:t>
            </w:r>
          </w:p>
        </w:tc>
        <w:tc>
          <w:tcPr>
            <w:tcW w:type="dxa" w:w="5760"/>
            <w:vAlign w:val="center"/>
            <w:tcMar>
              <w:top w:w="80" w:type="dxa"/>
              <w:start w:w="120" w:type="dxa"/>
              <w:bottom w:w="80" w:type="dxa"/>
              <w:end w:w="120" w:type="dxa"/>
            </w:tcMar>
          </w:tcPr>
          <w:p>
            <w:pPr>
              <w:jc w:val="center"/>
            </w:pPr>
            <w:r>
              <w:rPr>
                <w:rFonts w:ascii="Calibri" w:hAnsi="Calibri"/>
                <w:b w:val="0"/>
                <w:i w:val="0"/>
                <w:color w:val="1A1A1A"/>
                <w:sz w:val="20"/>
              </w:rPr>
              <w:t>results/leida_landscape_evaluation/</w:t>
            </w:r>
          </w:p>
        </w:tc>
      </w:tr>
      <w:tr>
        <w:tc>
          <w:tcPr>
            <w:tcW w:type="dxa" w:w="3600"/>
            <w:vAlign w:val="center"/>
            <w:tcMar>
              <w:top w:w="80" w:type="dxa"/>
              <w:start w:w="120" w:type="dxa"/>
              <w:bottom w:w="80" w:type="dxa"/>
              <w:end w:w="120" w:type="dxa"/>
            </w:tcMar>
          </w:tcPr>
          <w:p>
            <w:pPr>
              <w:jc w:val="left"/>
            </w:pPr>
            <w:r>
              <w:rPr>
                <w:rFonts w:ascii="Calibri" w:hAnsi="Calibri"/>
                <w:b w:val="0"/>
                <w:i w:val="0"/>
                <w:color w:val="1A1A1A"/>
                <w:sz w:val="20"/>
              </w:rPr>
              <w:t>Gain confirmation</w:t>
            </w:r>
          </w:p>
        </w:tc>
        <w:tc>
          <w:tcPr>
            <w:tcW w:type="dxa" w:w="5760"/>
            <w:vAlign w:val="center"/>
            <w:tcMar>
              <w:top w:w="80" w:type="dxa"/>
              <w:start w:w="120" w:type="dxa"/>
              <w:bottom w:w="80" w:type="dxa"/>
              <w:end w:w="120" w:type="dxa"/>
            </w:tcMar>
          </w:tcPr>
          <w:p>
            <w:pPr>
              <w:jc w:val="center"/>
            </w:pPr>
            <w:r>
              <w:rPr>
                <w:rFonts w:ascii="Calibri" w:hAnsi="Calibri"/>
                <w:b w:val="0"/>
                <w:i w:val="0"/>
                <w:color w:val="1A1A1A"/>
                <w:sz w:val="20"/>
              </w:rPr>
              <w:t>results/cooperative_competitive_gain_confirmation/</w:t>
            </w:r>
          </w:p>
        </w:tc>
      </w:tr>
      <w:tr>
        <w:tc>
          <w:tcPr>
            <w:tcW w:type="dxa" w:w="3600"/>
            <w:vAlign w:val="center"/>
            <w:tcMar>
              <w:top w:w="80" w:type="dxa"/>
              <w:start w:w="120" w:type="dxa"/>
              <w:bottom w:w="80" w:type="dxa"/>
              <w:end w:w="120" w:type="dxa"/>
            </w:tcMar>
          </w:tcPr>
          <w:p>
            <w:pPr>
              <w:jc w:val="left"/>
            </w:pPr>
            <w:r>
              <w:rPr>
                <w:rFonts w:ascii="Calibri" w:hAnsi="Calibri"/>
                <w:b w:val="0"/>
                <w:i w:val="0"/>
                <w:color w:val="1A1A1A"/>
                <w:sz w:val="20"/>
              </w:rPr>
              <w:t>Noise/bifurcation confirmation</w:t>
            </w:r>
          </w:p>
        </w:tc>
        <w:tc>
          <w:tcPr>
            <w:tcW w:type="dxa" w:w="5760"/>
            <w:vAlign w:val="center"/>
            <w:tcMar>
              <w:top w:w="80" w:type="dxa"/>
              <w:start w:w="120" w:type="dxa"/>
              <w:bottom w:w="80" w:type="dxa"/>
              <w:end w:w="120" w:type="dxa"/>
            </w:tcMar>
          </w:tcPr>
          <w:p>
            <w:pPr>
              <w:jc w:val="center"/>
            </w:pPr>
            <w:r>
              <w:rPr>
                <w:rFonts w:ascii="Calibri" w:hAnsi="Calibri"/>
                <w:b w:val="0"/>
                <w:i w:val="0"/>
                <w:color w:val="1A1A1A"/>
                <w:sz w:val="20"/>
              </w:rPr>
              <w:t>results/noise_bifurcation_confirmation/</w:t>
            </w:r>
          </w:p>
        </w:tc>
      </w:tr>
      <w:tr>
        <w:tc>
          <w:tcPr>
            <w:tcW w:type="dxa" w:w="3600"/>
            <w:vAlign w:val="center"/>
            <w:tcMar>
              <w:top w:w="80" w:type="dxa"/>
              <w:start w:w="120" w:type="dxa"/>
              <w:bottom w:w="80" w:type="dxa"/>
              <w:end w:w="120" w:type="dxa"/>
            </w:tcMar>
          </w:tcPr>
          <w:p>
            <w:pPr>
              <w:jc w:val="left"/>
            </w:pPr>
            <w:r>
              <w:rPr>
                <w:rFonts w:ascii="Calibri" w:hAnsi="Calibri"/>
                <w:b w:val="0"/>
                <w:i w:val="0"/>
                <w:color w:val="1A1A1A"/>
                <w:sz w:val="20"/>
              </w:rPr>
              <w:t>Frozen EEG protocol</w:t>
            </w:r>
          </w:p>
        </w:tc>
        <w:tc>
          <w:tcPr>
            <w:tcW w:type="dxa" w:w="5760"/>
            <w:vAlign w:val="center"/>
            <w:tcMar>
              <w:top w:w="80" w:type="dxa"/>
              <w:start w:w="120" w:type="dxa"/>
              <w:bottom w:w="80" w:type="dxa"/>
              <w:end w:w="120" w:type="dxa"/>
            </w:tcMar>
          </w:tcPr>
          <w:p>
            <w:pPr>
              <w:jc w:val="center"/>
            </w:pPr>
            <w:r>
              <w:rPr>
                <w:rFonts w:ascii="Calibri" w:hAnsi="Calibri"/>
                <w:b w:val="0"/>
                <w:i w:val="0"/>
                <w:color w:val="1A1A1A"/>
                <w:sz w:val="20"/>
              </w:rPr>
              <w:t>docs/EEG_SWITCHING_ANALYSIS_PROTOCOL.md</w:t>
            </w:r>
          </w:p>
        </w:tc>
      </w:tr>
      <w:tr>
        <w:tc>
          <w:tcPr>
            <w:tcW w:type="dxa" w:w="3600"/>
            <w:vAlign w:val="center"/>
            <w:tcMar>
              <w:top w:w="80" w:type="dxa"/>
              <w:start w:w="120" w:type="dxa"/>
              <w:bottom w:w="80" w:type="dxa"/>
              <w:end w:w="120" w:type="dxa"/>
            </w:tcMar>
          </w:tcPr>
          <w:p>
            <w:pPr>
              <w:jc w:val="left"/>
            </w:pPr>
            <w:r>
              <w:rPr>
                <w:rFonts w:ascii="Calibri" w:hAnsi="Calibri"/>
                <w:b w:val="0"/>
                <w:i w:val="0"/>
                <w:color w:val="1A1A1A"/>
                <w:sz w:val="20"/>
              </w:rPr>
              <w:t>Frozen EEG confirmation result</w:t>
            </w:r>
          </w:p>
        </w:tc>
        <w:tc>
          <w:tcPr>
            <w:tcW w:type="dxa" w:w="5760"/>
            <w:vAlign w:val="center"/>
            <w:tcMar>
              <w:top w:w="80" w:type="dxa"/>
              <w:start w:w="120" w:type="dxa"/>
              <w:bottom w:w="80" w:type="dxa"/>
              <w:end w:w="120" w:type="dxa"/>
            </w:tcMar>
          </w:tcPr>
          <w:p>
            <w:pPr>
              <w:jc w:val="center"/>
            </w:pPr>
            <w:r>
              <w:rPr>
                <w:rFonts w:ascii="Calibri" w:hAnsi="Calibri"/>
                <w:b w:val="0"/>
                <w:i w:val="0"/>
                <w:color w:val="1A1A1A"/>
                <w:sz w:val="20"/>
              </w:rPr>
              <w:t>docs/EEG_CONFIRMATION_RESULTS.md</w:t>
            </w:r>
          </w:p>
        </w:tc>
      </w:tr>
      <w:tr>
        <w:tc>
          <w:tcPr>
            <w:tcW w:type="dxa" w:w="3600"/>
            <w:vAlign w:val="center"/>
            <w:tcMar>
              <w:top w:w="80" w:type="dxa"/>
              <w:start w:w="120" w:type="dxa"/>
              <w:bottom w:w="80" w:type="dxa"/>
              <w:end w:w="120" w:type="dxa"/>
            </w:tcMar>
          </w:tcPr>
          <w:p>
            <w:pPr>
              <w:jc w:val="left"/>
            </w:pPr>
            <w:r>
              <w:rPr>
                <w:rFonts w:ascii="Calibri" w:hAnsi="Calibri"/>
                <w:b w:val="0"/>
                <w:i w:val="0"/>
                <w:color w:val="1A1A1A"/>
                <w:sz w:val="20"/>
              </w:rPr>
              <w:t>EEG confirmation outputs</w:t>
            </w:r>
          </w:p>
        </w:tc>
        <w:tc>
          <w:tcPr>
            <w:tcW w:type="dxa" w:w="5760"/>
            <w:vAlign w:val="center"/>
            <w:tcMar>
              <w:top w:w="80" w:type="dxa"/>
              <w:start w:w="120" w:type="dxa"/>
              <w:bottom w:w="80" w:type="dxa"/>
              <w:end w:w="120" w:type="dxa"/>
            </w:tcMar>
          </w:tcPr>
          <w:p>
            <w:pPr>
              <w:jc w:val="center"/>
            </w:pPr>
            <w:r>
              <w:rPr>
                <w:rFonts w:ascii="Calibri" w:hAnsi="Calibri"/>
                <w:b w:val="0"/>
                <w:i w:val="0"/>
                <w:color w:val="1A1A1A"/>
                <w:sz w:val="20"/>
              </w:rPr>
              <w:t>results/reversal_eeg_confirmation/</w:t>
            </w:r>
          </w:p>
        </w:tc>
      </w:tr>
      <w:tr>
        <w:tc>
          <w:tcPr>
            <w:tcW w:type="dxa" w:w="3600"/>
            <w:vAlign w:val="center"/>
            <w:tcMar>
              <w:top w:w="80" w:type="dxa"/>
              <w:start w:w="120" w:type="dxa"/>
              <w:bottom w:w="80" w:type="dxa"/>
              <w:end w:w="120" w:type="dxa"/>
            </w:tcMar>
          </w:tcPr>
          <w:p>
            <w:pPr>
              <w:jc w:val="left"/>
            </w:pPr>
            <w:r>
              <w:rPr>
                <w:rFonts w:ascii="Calibri" w:hAnsi="Calibri"/>
                <w:b w:val="0"/>
                <w:i w:val="0"/>
                <w:color w:val="1A1A1A"/>
                <w:sz w:val="20"/>
              </w:rPr>
              <w:t>EEG estimator comparison</w:t>
            </w:r>
          </w:p>
        </w:tc>
        <w:tc>
          <w:tcPr>
            <w:tcW w:type="dxa" w:w="5760"/>
            <w:vAlign w:val="center"/>
            <w:tcMar>
              <w:top w:w="80" w:type="dxa"/>
              <w:start w:w="120" w:type="dxa"/>
              <w:bottom w:w="80" w:type="dxa"/>
              <w:end w:w="120" w:type="dxa"/>
            </w:tcMar>
          </w:tcPr>
          <w:p>
            <w:pPr>
              <w:jc w:val="center"/>
            </w:pPr>
            <w:r>
              <w:rPr>
                <w:rFonts w:ascii="Calibri" w:hAnsi="Calibri"/>
                <w:b w:val="0"/>
                <w:i w:val="0"/>
                <w:color w:val="1A1A1A"/>
                <w:sz w:val="20"/>
              </w:rPr>
              <w:t>docs/EEG_ESTIMATOR_COMPARISON.md</w:t>
            </w:r>
          </w:p>
        </w:tc>
      </w:tr>
      <w:tr>
        <w:tc>
          <w:tcPr>
            <w:tcW w:type="dxa" w:w="3600"/>
            <w:vAlign w:val="center"/>
            <w:tcMar>
              <w:top w:w="80" w:type="dxa"/>
              <w:start w:w="120" w:type="dxa"/>
              <w:bottom w:w="80" w:type="dxa"/>
              <w:end w:w="120" w:type="dxa"/>
            </w:tcMar>
          </w:tcPr>
          <w:p>
            <w:pPr>
              <w:jc w:val="left"/>
            </w:pPr>
            <w:r>
              <w:rPr>
                <w:rFonts w:ascii="Calibri" w:hAnsi="Calibri"/>
                <w:b w:val="0"/>
                <w:i w:val="0"/>
                <w:color w:val="1A1A1A"/>
                <w:sz w:val="20"/>
              </w:rPr>
              <w:t>Estimator comparison outputs</w:t>
            </w:r>
          </w:p>
        </w:tc>
        <w:tc>
          <w:tcPr>
            <w:tcW w:type="dxa" w:w="5760"/>
            <w:vAlign w:val="center"/>
            <w:tcMar>
              <w:top w:w="80" w:type="dxa"/>
              <w:start w:w="120" w:type="dxa"/>
              <w:bottom w:w="80" w:type="dxa"/>
              <w:end w:w="120" w:type="dxa"/>
            </w:tcMar>
          </w:tcPr>
          <w:p>
            <w:pPr>
              <w:jc w:val="center"/>
            </w:pPr>
            <w:r>
              <w:rPr>
                <w:rFonts w:ascii="Calibri" w:hAnsi="Calibri"/>
                <w:b w:val="0"/>
                <w:i w:val="0"/>
                <w:color w:val="1A1A1A"/>
                <w:sz w:val="20"/>
              </w:rPr>
              <w:t>results/eeg_reconfiguration_estimator_comparison/</w:t>
            </w:r>
          </w:p>
        </w:tc>
      </w:tr>
      <w:tr>
        <w:tc>
          <w:tcPr>
            <w:tcW w:type="dxa" w:w="3600"/>
            <w:vAlign w:val="center"/>
            <w:tcMar>
              <w:top w:w="80" w:type="dxa"/>
              <w:start w:w="120" w:type="dxa"/>
              <w:bottom w:w="80" w:type="dxa"/>
              <w:end w:w="120" w:type="dxa"/>
            </w:tcMar>
          </w:tcPr>
          <w:p>
            <w:pPr>
              <w:jc w:val="left"/>
            </w:pPr>
            <w:r>
              <w:rPr>
                <w:rFonts w:ascii="Calibri" w:hAnsi="Calibri"/>
                <w:b w:val="0"/>
                <w:i w:val="0"/>
                <w:color w:val="1A1A1A"/>
                <w:sz w:val="20"/>
              </w:rPr>
              <w:t>Analysis code and automated tests</w:t>
            </w:r>
          </w:p>
        </w:tc>
        <w:tc>
          <w:tcPr>
            <w:tcW w:type="dxa" w:w="5760"/>
            <w:vAlign w:val="center"/>
            <w:tcMar>
              <w:top w:w="80" w:type="dxa"/>
              <w:start w:w="120" w:type="dxa"/>
              <w:bottom w:w="80" w:type="dxa"/>
              <w:end w:w="120" w:type="dxa"/>
            </w:tcMar>
          </w:tcPr>
          <w:p>
            <w:pPr>
              <w:jc w:val="center"/>
            </w:pPr>
            <w:r>
              <w:rPr>
                <w:rFonts w:ascii="Calibri" w:hAnsi="Calibri"/>
                <w:b w:val="0"/>
                <w:i w:val="0"/>
                <w:color w:val="1A1A1A"/>
                <w:sz w:val="20"/>
              </w:rPr>
              <w:t>scripts/ and tests/</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8717A"/>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8717A"/>
        <w:sz w:val="17"/>
      </w:rPr>
      <w:t>COMPETITIVE CONNECTOMES AND ADAPTIVE FLEXIBILITY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5D7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5D7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A5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Competitive Connectomes and Adaptive Flexibility — Research Progress Report</dc:title>
  <dc:subject>Living record of computational methods, results and interpretation</dc:subject>
  <dc:creator>Shriya Sai</dc:creator>
  <cp:keywords>Hopf model, effective connectivity, cooperation, competition, NeuroAI</cp:keywords>
  <dc:description>generated by python-docx</dc:description>
  <cp:lastModifiedBy/>
  <cp:revision>1</cp:revision>
  <dcterms:created xsi:type="dcterms:W3CDTF">2013-12-23T23:15:00Z</dcterms:created>
  <dcterms:modified xsi:type="dcterms:W3CDTF">2013-12-23T23:15:00Z</dcterms:modified>
  <cp:category/>
</cp:coreProperties>
</file>