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79B4F0" w14:textId="6787A8FE" w:rsidR="00AB5CA7" w:rsidRDefault="00AB5CA7" w:rsidP="00AB5CA7">
      <w:pPr>
        <w:pStyle w:val="Title"/>
        <w:pBdr>
          <w:bottom w:val="single" w:sz="8" w:space="31" w:color="4F81BD" w:themeColor="accent1"/>
        </w:pBdr>
        <w:rPr>
          <w:sz w:val="28"/>
          <w:szCs w:val="28"/>
        </w:rPr>
      </w:pPr>
      <w:r w:rsidRPr="00AB5CA7">
        <w:rPr>
          <w:sz w:val="28"/>
          <w:szCs w:val="28"/>
        </w:rPr>
        <w:t>GenAI Course - Week 7 Assessment</w:t>
      </w:r>
    </w:p>
    <w:p w14:paraId="5A6AF4A9" w14:textId="01407254" w:rsidR="00AB5CA7" w:rsidRPr="00AB5CA7" w:rsidRDefault="00AB5CA7" w:rsidP="00AB5CA7">
      <w:r>
        <w:t>Name: Shriyaa S</w:t>
      </w:r>
      <w:bookmarkStart w:id="0" w:name="_GoBack"/>
      <w:bookmarkEnd w:id="0"/>
    </w:p>
    <w:p w14:paraId="13D83D9E" w14:textId="77777777" w:rsidR="00547C26" w:rsidRDefault="00AB5CA7">
      <w:pPr>
        <w:pStyle w:val="Heading2"/>
      </w:pPr>
      <w:r>
        <w:t>Assessment 1: Industries and Their Regulations</w:t>
      </w:r>
    </w:p>
    <w:p w14:paraId="69C0932A" w14:textId="77777777" w:rsidR="00547C26" w:rsidRDefault="00AB5CA7">
      <w:r>
        <w:t>B</w:t>
      </w:r>
      <w:r>
        <w:t>anking &amp; Finance: RBI, PCI-DSS, KYC.</w:t>
      </w:r>
      <w:r>
        <w:br/>
        <w:t>Healthcare: HIPAA and patient data regulations.</w:t>
      </w:r>
      <w:r>
        <w:br/>
        <w:t>E-Commerce: Consumer Protection Laws and GDPR.</w:t>
      </w:r>
      <w:r>
        <w:br/>
        <w:t xml:space="preserve">Information Technology: GDPR, ISO </w:t>
      </w:r>
      <w:r>
        <w:t>27001 and Data Protection Acts.</w:t>
      </w:r>
      <w:r>
        <w:br/>
        <w:t>Purpose: Security, privacy, compliance and risk management.</w:t>
      </w:r>
    </w:p>
    <w:p w14:paraId="1BDA9803" w14:textId="77777777" w:rsidR="00547C26" w:rsidRDefault="00AB5CA7">
      <w:pPr>
        <w:pStyle w:val="Heading2"/>
      </w:pPr>
      <w:r>
        <w:t>Assessment 2: Static vs Dynamic Content</w:t>
      </w:r>
    </w:p>
    <w:p w14:paraId="2C067831" w14:textId="77777777" w:rsidR="00547C26" w:rsidRDefault="00AB5CA7">
      <w:r>
        <w:t>Static Content: Fixed content that changes only when manually updated.</w:t>
      </w:r>
      <w:r>
        <w:br/>
        <w:t>Examples: Portfolio website, About Us page.</w:t>
      </w:r>
      <w:r>
        <w:br/>
      </w:r>
      <w:r>
        <w:br/>
        <w:t xml:space="preserve">Dynamic </w:t>
      </w:r>
      <w:r>
        <w:t>Content: Content generated using databases or user interactions.</w:t>
      </w:r>
      <w:r>
        <w:br/>
        <w:t>Examples: Social media feeds, e-commerce websites, weather applications.</w:t>
      </w:r>
    </w:p>
    <w:p w14:paraId="0F3DC61F" w14:textId="77777777" w:rsidR="00547C26" w:rsidRDefault="00AB5CA7">
      <w:pPr>
        <w:pStyle w:val="Heading2"/>
      </w:pPr>
      <w:r>
        <w:t>Assessment 3: WCAG and Accessibility Regulations</w:t>
      </w:r>
    </w:p>
    <w:p w14:paraId="4FE65054" w14:textId="77777777" w:rsidR="00547C26" w:rsidRDefault="00AB5CA7">
      <w:r>
        <w:t>WCAG stands for Web Content Accessibility Guidelines.</w:t>
      </w:r>
      <w:r>
        <w:br/>
        <w:t>Principles: Per</w:t>
      </w:r>
      <w:r>
        <w:t>ceivable, Operable, Understandable, Robust.</w:t>
      </w:r>
      <w:r>
        <w:br/>
        <w:t>Regulations: USA (ADA, Section 508), Europe (European Accessibility Act), India (RPWD Act), UK (Equality Act 2010).</w:t>
      </w:r>
    </w:p>
    <w:p w14:paraId="51A481C7" w14:textId="77777777" w:rsidR="00547C26" w:rsidRDefault="00AB5CA7">
      <w:pPr>
        <w:pStyle w:val="Heading2"/>
      </w:pPr>
      <w:r>
        <w:t>Assessment 4: Architecture of RAG</w:t>
      </w:r>
    </w:p>
    <w:p w14:paraId="2F139246" w14:textId="77777777" w:rsidR="00547C26" w:rsidRDefault="00AB5CA7">
      <w:r>
        <w:t>RAG combines information retrieval and LLMs.</w:t>
      </w:r>
      <w:r>
        <w:br/>
        <w:t xml:space="preserve">Flow: User Query </w:t>
      </w:r>
      <w:r>
        <w:t>→ Embedding Model → Vector Database → Retriever → LLM → Response.</w:t>
      </w:r>
      <w:r>
        <w:br/>
        <w:t>Benefits: Better accuracy, reduced hallucinations, external knowledge usage.</w:t>
      </w:r>
    </w:p>
    <w:p w14:paraId="1CDF5F40" w14:textId="77777777" w:rsidR="00547C26" w:rsidRDefault="00AB5CA7">
      <w:pPr>
        <w:pStyle w:val="Heading2"/>
      </w:pPr>
      <w:r>
        <w:t>Assessment 4.1: Eight Types of RAG</w:t>
      </w:r>
    </w:p>
    <w:p w14:paraId="4055C93B" w14:textId="77777777" w:rsidR="00547C26" w:rsidRDefault="00AB5CA7">
      <w:r>
        <w:t>1. Naive RAG – Basic retrieval and generation.</w:t>
      </w:r>
      <w:r>
        <w:br/>
        <w:t>2. Advanced RAG – Enhanced retr</w:t>
      </w:r>
      <w:r>
        <w:t>ieval and ranking.</w:t>
      </w:r>
      <w:r>
        <w:br/>
        <w:t>3. Modular RAG – Separate retrieval and generation modules.</w:t>
      </w:r>
      <w:r>
        <w:br/>
        <w:t>4. Corrective RAG (CRAG) – Validates retrieved information.</w:t>
      </w:r>
      <w:r>
        <w:br/>
        <w:t>5. Adaptive RAG – Selects retrieval strategy dynamically.</w:t>
      </w:r>
      <w:r>
        <w:br/>
        <w:t>6. Graph RAG – Uses knowledge graphs.</w:t>
      </w:r>
      <w:r>
        <w:br/>
        <w:t>7. Hybrid RAG – Combi</w:t>
      </w:r>
      <w:r>
        <w:t>nes keyword and vector search.</w:t>
      </w:r>
      <w:r>
        <w:br/>
        <w:t>8. Agentic RAG – Uses AI agents for planning and retrieval.</w:t>
      </w:r>
      <w:r>
        <w:br/>
      </w:r>
      <w:r>
        <w:br/>
        <w:t>Benefits: Improved context, better accuracy, lower hallucinations.</w:t>
      </w:r>
    </w:p>
    <w:p w14:paraId="3615B201" w14:textId="77777777" w:rsidR="00547C26" w:rsidRDefault="00AB5CA7">
      <w:pPr>
        <w:pStyle w:val="Heading2"/>
      </w:pPr>
      <w:r>
        <w:lastRenderedPageBreak/>
        <w:t>Assessment 5: Explore Cohere</w:t>
      </w:r>
    </w:p>
    <w:p w14:paraId="795A9478" w14:textId="77777777" w:rsidR="00547C26" w:rsidRDefault="00AB5CA7">
      <w:r>
        <w:t>Cohere is an AI platform providing language models and APIs.</w:t>
      </w:r>
      <w:r>
        <w:br/>
        <w:t>Feature</w:t>
      </w:r>
      <w:r>
        <w:t>s: Text Generation, Summarization, Embeddings, Classification, Reranking and RAG support.</w:t>
      </w:r>
      <w:r>
        <w:br/>
        <w:t>Use Cases: Chatbots, Search Systems and Enterprise AI Applications.</w:t>
      </w:r>
    </w:p>
    <w:sectPr w:rsidR="00547C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47C26"/>
    <w:rsid w:val="00AA1D8D"/>
    <w:rsid w:val="00AB5CA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203624"/>
  <w14:defaultImageDpi w14:val="300"/>
  <w15:docId w15:val="{C66600A2-85AB-4360-91A1-D12B8A2C2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E71B811-880C-4911-9CB8-FB51D4753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Shriyaa S</cp:lastModifiedBy>
  <cp:revision>2</cp:revision>
  <dcterms:created xsi:type="dcterms:W3CDTF">2026-06-23T06:49:00Z</dcterms:created>
  <dcterms:modified xsi:type="dcterms:W3CDTF">2026-06-23T06:49:00Z</dcterms:modified>
  <cp:category/>
</cp:coreProperties>
</file>