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36"/>
          <w:szCs w:val="36"/>
          <w:highlight w:val="white"/>
        </w:rPr>
      </w:pPr>
      <w:r w:rsidDel="00000000" w:rsidR="00000000" w:rsidRPr="00000000">
        <w:rPr>
          <w:sz w:val="36"/>
          <w:szCs w:val="36"/>
          <w:highlight w:val="white"/>
          <w:rtl w:val="0"/>
        </w:rPr>
        <w:t xml:space="preserve">Demonstrate how monitors are used </w:t>
      </w:r>
    </w:p>
    <w:p w:rsidR="00000000" w:rsidDel="00000000" w:rsidP="00000000" w:rsidRDefault="00000000" w:rsidRPr="00000000" w14:paraId="00000003">
      <w:pPr>
        <w:rPr>
          <w:sz w:val="36"/>
          <w:szCs w:val="36"/>
          <w:highlight w:val="white"/>
        </w:rPr>
      </w:pP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8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