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rFonts w:ascii="Arial" w:hAnsi="Arial" w:cs="Arial" w:eastAsia="Arial"/>
          <w:b w:val="true"/>
          <w:color w:val="000000"/>
          <w:sz w:val="28"/>
        </w:rPr>
        <w:t/>
        <w:cr/>
        <w:t>Quick Cluster</w:t>
        <w:cr/>
      </w:r>
    </w:p>
    <w:p>
      <w:r/>
    </w:p>
    <w:tbl>
      <w:tblPr>
        <w:tblW w:w="0" w:type="auto"/>
        <w:jc w:val="left"/>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08-SEP-2023 18:52:59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C:\Users\allan\OneDrive\Desktop\Tesl\archive\Tesla ADj.sav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3313</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Statistics are based on cases with no missing values for any clustering variable used.</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QUICK CLUSTER volume change_percent</w:t>
              <w:br/>
              <w:t>/MISSING=LISTWISE</w:t>
              <w:br/>
              <w:t>/CRITERIA=CLUSTER(4) MXITER(10) CONVERGE(0)</w:t>
              <w:br/>
              <w:t>/METHOD=KMEANS(NOUPDATE)</w:t>
              <w:br/>
              <w:t>/PRINT INITIAL.</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00:00:00.00</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Elapsed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00:00:00.05</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Workspace Required</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616 bytes</w:t>
            </w:r>
          </w:p>
        </w:tc>
      </w:tr>
    </w:tbl>
    <w:p>
      <w:pPr>
        <w:spacing w:before="200"/>
        <w:jc w:val="left"/>
      </w:pPr>
      <w:r/>
      <w:r>
        <w:rPr>
          <w:rFonts w:ascii="Courier New" w:hAnsi="Courier New" w:cs="Courier New" w:eastAsia="Courier New"/>
          <w:color w:val="000000"/>
          <w:sz w:val="24"/>
        </w:rPr>
        <w:t/>
        <w:cr/>
        <w:t>[DataSet1] C:\Users\allan\OneDrive\Desktop\Tesl\archive\Tesla ADj.sav</w:t>
        <w:cr/>
      </w:r>
    </w:p>
    <w:p>
      <w:r/>
    </w:p>
    <w:tbl>
      <w:tblPr>
        <w:tblW w:w="0" w:type="auto"/>
        <w:jc w:val="left"/>
        <w:tblLayout w:type="fixed"/>
      </w:tblPr>
      <w:tblGrid>
        <w:gridCol w:w="1751"/>
        <w:gridCol w:w="1309"/>
        <w:gridCol w:w="1309"/>
        <w:gridCol w:w="1309"/>
        <w:gridCol w:w="1156"/>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Initial Cluster Centers</w:t>
            </w:r>
          </w:p>
        </w:tc>
        <w:tc>
          <w:tcPr>
            <w:hMerge w:val="continue"/>
          </w:tcPr>
          <w:p/>
        </w:tc>
        <w:tc>
          <w:tcPr>
            <w:hMerge w:val="continue"/>
          </w:tcPr>
          <w:p/>
        </w:tc>
        <w:tc>
          <w:tcPr>
            <w:hMerge w:val="continue"/>
          </w:tcPr>
          <w:p/>
        </w:tc>
        <w:tc>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color w:val="264a60"/>
                <w:sz w:val="24"/>
              </w:rPr>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Cluster</w:t>
            </w: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1</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2</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3</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4</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volume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914081390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300954272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598211284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1779210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change_percent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.63</w:t>
            </w:r>
          </w:p>
        </w:tc>
      </w:tr>
    </w:tbl>
    <w:p>
      <w:r/>
    </w:p>
    <w:tbl>
      <w:tblPr>
        <w:tblW w:w="0" w:type="auto"/>
        <w:jc w:val="left"/>
        <w:tblLayout w:type="fixed"/>
      </w:tblPr>
      <w:tblGrid>
        <w:gridCol w:w="986"/>
        <w:gridCol w:w="1598"/>
        <w:gridCol w:w="1598"/>
        <w:gridCol w:w="1598"/>
        <w:gridCol w:w="1598"/>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Iteration History</w:t>
            </w:r>
            <w:r>
              <w:rPr>
                <w:vertAlign w:val="superscript"/>
              </w:rPr>
              <w:t>a</w:t>
            </w:r>
          </w:p>
        </w:tc>
        <w:tc>
          <w:tcPr>
            <w:hMerge w:val="continue"/>
          </w:tcPr>
          <w:p/>
        </w:tc>
        <w:tc>
          <w:tcPr>
            <w:hMerge w:val="continue"/>
          </w:tcPr>
          <w:p/>
        </w:tc>
        <w:tc>
          <w:tcPr>
            <w:hMerge w:val="continue"/>
          </w:tcPr>
          <w:p/>
        </w:tc>
        <w:tc>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color w:val="264a60"/>
                <w:sz w:val="24"/>
              </w:rPr>
              <w:t>Iteration</w:t>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Change in Cluster Centers</w:t>
            </w: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1</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2</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3</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4</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74694402.801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66366945.706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66699180.185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93861911.000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10601299.931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67734192.264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1006836.438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66389474.750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12810426.284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56001378.943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1433973.839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54111394.250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13671321.027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35932214.542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1783129.797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20322872.143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13145671.242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23633307.479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2326139.551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10291169.841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12165634.588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2570381.833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7702235.243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10615184.381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2004466.162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21831304.982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5968021.212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7708449.901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1867913.980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33519677.375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5118128.669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7280076.244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1789303.118</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34463843.423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4151168.904</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7245492.154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1549200.011</w:t>
            </w:r>
          </w:p>
        </w:tc>
      </w:tr>
    </w:tbl>
    <w:tbl>
      <w:tblPr>
        <w:tblW w:w="0" w:type="auto"/>
        <w:jc w:val="left"/>
        <w:tblLayout w:type="fixed"/>
      </w:tblPr>
      <w:tblGrid>
        <w:gridCol w:w="986"/>
        <w:gridCol w:w="1598"/>
        <w:gridCol w:w="1598"/>
        <w:gridCol w:w="1598"/>
        <w:gridCol w:w="1598"/>
      </w:tblGrid>
      <w:tr>
        <w:tc>
          <w:tcPr>
            <w:hMerge w:val="restart"/>
            <w:vAlign w:val="top"/>
          </w:tcPr>
          <w:tcPr>
            <w:shd w:color="auto" w:val="clear" w:fill="ffffff"/>
          </w:tcPr>
          <w:p>
            <w:pPr>
              <w:jc w:val="left"/>
            </w:pPr>
            <w:r>
              <w:rPr>
                <w:rFonts w:ascii="Arial" w:hAnsi="Arial" w:cs="Arial" w:eastAsia="Arial"/>
                <w:color w:val="010205"/>
                <w:sz w:val="24"/>
              </w:rPr>
              <w:t>a. Iterations stopped because the maximum number of iterations was performed. Iterations failed to converge. The maximum absolute coordinate change for any center is 34463843.423. The current iteration is 10. The minimum distance between initial centers is 297257012.000.</w:t>
            </w:r>
          </w:p>
        </w:tc>
        <w:tc>
          <w:tcPr>
            <w:hMerge w:val="continue"/>
          </w:tcPr>
          <w:p/>
        </w:tc>
        <w:tc>
          <w:tcPr>
            <w:hMerge w:val="continue"/>
          </w:tcPr>
          <w:p/>
        </w:tc>
        <w:tc>
          <w:tcPr>
            <w:hMerge w:val="continue"/>
          </w:tcPr>
          <w:p/>
        </w:tc>
        <w:tc>
          <w:tcPr>
            <w:hMerge w:val="continue"/>
          </w:tcPr>
          <w:p/>
        </w:tc>
      </w:tr>
    </w:tbl>
    <w:p>
      <w:r/>
    </w:p>
    <w:tbl>
      <w:tblPr>
        <w:tblW w:w="0" w:type="auto"/>
        <w:jc w:val="left"/>
        <w:tblLayout w:type="fixed"/>
      </w:tblPr>
      <w:tblGrid>
        <w:gridCol w:w="1751"/>
        <w:gridCol w:w="1309"/>
        <w:gridCol w:w="1309"/>
        <w:gridCol w:w="1309"/>
        <w:gridCol w:w="1190"/>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Final Cluster Centers</w:t>
            </w:r>
          </w:p>
        </w:tc>
        <w:tc>
          <w:tcPr>
            <w:hMerge w:val="continue"/>
          </w:tcPr>
          <w:p/>
        </w:tc>
        <w:tc>
          <w:tcPr>
            <w:hMerge w:val="continue"/>
          </w:tcPr>
          <w:p/>
        </w:tc>
        <w:tc>
          <w:tcPr>
            <w:hMerge w:val="continue"/>
          </w:tcPr>
          <w:p/>
        </w:tc>
        <w:tc>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color w:val="264a60"/>
                <w:sz w:val="24"/>
              </w:rPr>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Cluster</w:t>
            </w: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1</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2</w:t>
            </w: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3</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4</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volume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547511767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139505627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293802099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51017124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change_percent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2.72</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.10</w:t>
            </w:r>
          </w:p>
        </w:tc>
      </w:tr>
    </w:tbl>
    <w:p>
      <w:r/>
    </w:p>
    <w:tbl>
      <w:tblPr>
        <w:tblW w:w="0" w:type="auto"/>
        <w:jc w:val="left"/>
        <w:tblLayout w:type="fixed"/>
      </w:tblPr>
      <w:tblGrid>
        <w:gridCol w:w="918"/>
        <w:gridCol w:w="833"/>
        <w:gridCol w:w="1156"/>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Number of Cases in each Cluster</w:t>
            </w:r>
          </w:p>
        </w:tc>
        <w:tc>
          <w:tcPr>
            <w:hMerge w:val="continue"/>
          </w:tcPr>
          <w:p/>
        </w:tc>
        <w:tc>
          <w:tcPr>
            <w:hMerge w:val="continue"/>
          </w:tcPr>
          <w:p/>
        </w:tc>
      </w:tr>
      <w:tr>
        <w:tc>
          <w:tcPr>
            <w:v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Cluster</w:t>
            </w:r>
          </w:p>
        </w:tc>
        <w:tc>
          <w:tcPr>
            <w:tcBorders>
              <w:top w:val="non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19.000</w:t>
            </w:r>
          </w:p>
        </w:tc>
      </w:tr>
      <w:tr>
        <w:tc>
          <w:tcPr>
            <w:vMerge w:val="continue"/>
            <w:tcBorders>
              <w:top w:val="non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1020.000</w:t>
            </w:r>
          </w:p>
        </w:tc>
      </w:tr>
      <w:tr>
        <w:tc>
          <w:tcPr>
            <w:vMerge w:val="continue"/>
            <w:tcBorders>
              <w:top w:val="non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206.000</w:t>
            </w:r>
          </w:p>
        </w:tc>
      </w:tr>
      <w:tr>
        <w:tc>
          <w:tcPr>
            <w:vMerge w:val="continue"/>
            <w:tcBorders>
              <w:top w:val="non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2067.000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Valid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3312.000</w:t>
            </w:r>
          </w:p>
        </w:tc>
      </w:tr>
      <w:tr>
        <w:tc>
          <w:tcPr>
            <w:h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Missing</w:t>
            </w:r>
          </w:p>
        </w:tc>
        <w:tc>
          <w:tcPr>
            <w:h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1.000</w:t>
            </w:r>
          </w:p>
        </w:tc>
      </w:tr>
    </w:tbl>
    <w:sectPr>
      <w:pgSz w:h="15840" w:w="12240"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2023-09-09T05:03:48Z</dcterms:created>
  <dc:creator>IBM SPSS Statistics</dc:creator>
</cp:coreProperties>
</file>