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80DE" w14:textId="77777777" w:rsidR="00845B66" w:rsidRPr="00845B66" w:rsidRDefault="00845B66" w:rsidP="00845B66">
      <w:r w:rsidRPr="00845B66">
        <w:t>we should build a market simulation and risk research layer, rather than only a signal-generation engine.</w:t>
      </w:r>
    </w:p>
    <w:p w14:paraId="6B2A7FEA" w14:textId="77777777" w:rsidR="00845B66" w:rsidRPr="00845B66" w:rsidRDefault="00845B66" w:rsidP="00845B66">
      <w:r w:rsidRPr="00845B66">
        <w:t>A. Emergent market simulator</w:t>
      </w:r>
    </w:p>
    <w:p w14:paraId="587A27D9" w14:textId="77777777" w:rsidR="00845B66" w:rsidRPr="00845B66" w:rsidRDefault="00845B66" w:rsidP="00845B66">
      <w:r w:rsidRPr="00845B66">
        <w:t>Model suppliers, competing sellers, buyers, inventory availability, replenishment and marketplace execution costs as interacting entities. Start with simple rule-based agents and test whether price patterns and arbitrage opportunities emerge without hardcoding the outcomes.</w:t>
      </w:r>
    </w:p>
    <w:p w14:paraId="615782C7" w14:textId="77777777" w:rsidR="00845B66" w:rsidRPr="00845B66" w:rsidRDefault="00845B66" w:rsidP="00845B66">
      <w:r w:rsidRPr="00845B66">
        <w:t>B. Statistical validation and alpha testing</w:t>
      </w:r>
    </w:p>
    <w:p w14:paraId="7540E90D" w14:textId="77777777" w:rsidR="00845B66" w:rsidRPr="00845B66" w:rsidRDefault="00845B66" w:rsidP="00845B66">
      <w:r w:rsidRPr="00845B66">
        <w:t>Compare each strategy with random-selection baselines, simple buy-and-hold inventory strategies and straightforward pricing rules. Test out-of-sample and account for fees, inventory holding time, stockouts and returns. Reject signals that only work under the assumptions used to create them.</w:t>
      </w:r>
    </w:p>
    <w:p w14:paraId="563992FB" w14:textId="77777777" w:rsidR="00845B66" w:rsidRPr="00845B66" w:rsidRDefault="00845B66" w:rsidP="00845B66">
      <w:r w:rsidRPr="00845B66">
        <w:t>C. Tail-risk and ruin engine</w:t>
      </w:r>
    </w:p>
    <w:p w14:paraId="79C87960" w14:textId="77777777" w:rsidR="00845B66" w:rsidRPr="00845B66" w:rsidRDefault="00845B66" w:rsidP="00845B66">
      <w:r w:rsidRPr="00845B66">
        <w:t>Run adverse scenarios and Monte Carlo simulations against the capital model. Measure peak-to-trough losses, inventory impairments, cash shortfalls, recovery times and the probability that the hypothetical entity cannot meet its obligations.</w:t>
      </w:r>
    </w:p>
    <w:p w14:paraId="1AE5620C" w14:textId="77777777" w:rsidR="00845B66" w:rsidRPr="00845B66" w:rsidRDefault="00845B66" w:rsidP="00845B66">
      <w:r w:rsidRPr="00845B66">
        <w:t>D. Dependency and contagion analysis</w:t>
      </w:r>
    </w:p>
    <w:p w14:paraId="6CEF17BC" w14:textId="77777777" w:rsidR="00845B66" w:rsidRPr="00845B66" w:rsidRDefault="00845B66" w:rsidP="00845B66">
      <w:r w:rsidRPr="00845B66">
        <w:t>Model shared suppliers, common logistics routes, marketplace dependence and correlated product demand. Simulate how one disruption can invalidate several apparently diversified opportunities at once.</w:t>
      </w:r>
    </w:p>
    <w:p w14:paraId="2B6E7C09" w14:textId="77777777" w:rsidR="00845B66" w:rsidRPr="00845B66" w:rsidRDefault="00845B66" w:rsidP="00845B66">
      <w:pPr>
        <w:rPr>
          <w:b/>
          <w:bCs/>
        </w:rPr>
      </w:pPr>
      <w:r w:rsidRPr="00845B66">
        <w:rPr>
          <w:b/>
          <w:bCs/>
        </w:rPr>
        <w:t>4. The risk metrics I would require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6605"/>
      </w:tblGrid>
      <w:tr w:rsidR="00845B66" w:rsidRPr="00845B66" w14:paraId="1BA2C5DC" w14:textId="77777777">
        <w:trPr>
          <w:tblCellSpacing w:w="15" w:type="dxa"/>
        </w:trPr>
        <w:tc>
          <w:tcPr>
            <w:tcW w:w="0" w:type="auto"/>
            <w:vAlign w:val="center"/>
            <w:hideMark/>
          </w:tcPr>
          <w:p w14:paraId="48993F1C" w14:textId="77777777" w:rsidR="00845B66" w:rsidRPr="00845B66" w:rsidRDefault="00845B66" w:rsidP="00845B66">
            <w:pPr>
              <w:rPr>
                <w:b/>
                <w:bCs/>
              </w:rPr>
            </w:pPr>
            <w:r w:rsidRPr="00845B66">
              <w:rPr>
                <w:b/>
                <w:bCs/>
              </w:rPr>
              <w:t>Metric</w:t>
            </w:r>
          </w:p>
        </w:tc>
        <w:tc>
          <w:tcPr>
            <w:tcW w:w="0" w:type="auto"/>
            <w:vAlign w:val="center"/>
            <w:hideMark/>
          </w:tcPr>
          <w:p w14:paraId="3A16E6D8" w14:textId="77777777" w:rsidR="00845B66" w:rsidRPr="00845B66" w:rsidRDefault="00845B66" w:rsidP="00845B66">
            <w:pPr>
              <w:rPr>
                <w:b/>
                <w:bCs/>
              </w:rPr>
            </w:pPr>
            <w:r w:rsidRPr="00845B66">
              <w:rPr>
                <w:b/>
                <w:bCs/>
              </w:rPr>
              <w:t>Question it answers</w:t>
            </w:r>
          </w:p>
        </w:tc>
      </w:tr>
      <w:tr w:rsidR="00845B66" w:rsidRPr="00845B66" w14:paraId="1E9BF1EE" w14:textId="77777777">
        <w:trPr>
          <w:tblCellSpacing w:w="15" w:type="dxa"/>
        </w:trPr>
        <w:tc>
          <w:tcPr>
            <w:tcW w:w="0" w:type="auto"/>
            <w:vAlign w:val="center"/>
            <w:hideMark/>
          </w:tcPr>
          <w:p w14:paraId="4E8D5725" w14:textId="77777777" w:rsidR="00845B66" w:rsidRPr="00845B66" w:rsidRDefault="00845B66" w:rsidP="00845B66">
            <w:r w:rsidRPr="00845B66">
              <w:t>Expected return on capital</w:t>
            </w:r>
          </w:p>
        </w:tc>
        <w:tc>
          <w:tcPr>
            <w:tcW w:w="0" w:type="auto"/>
            <w:vAlign w:val="center"/>
            <w:hideMark/>
          </w:tcPr>
          <w:p w14:paraId="1F55188F" w14:textId="77777777" w:rsidR="00845B66" w:rsidRPr="00845B66" w:rsidRDefault="00845B66" w:rsidP="00845B66">
            <w:r w:rsidRPr="00845B66">
              <w:t>Is the strategy economically worthwhile?</w:t>
            </w:r>
          </w:p>
        </w:tc>
      </w:tr>
      <w:tr w:rsidR="00845B66" w:rsidRPr="00845B66" w14:paraId="38671509" w14:textId="77777777">
        <w:trPr>
          <w:tblCellSpacing w:w="15" w:type="dxa"/>
        </w:trPr>
        <w:tc>
          <w:tcPr>
            <w:tcW w:w="0" w:type="auto"/>
            <w:vAlign w:val="center"/>
            <w:hideMark/>
          </w:tcPr>
          <w:p w14:paraId="5F9CF1FA" w14:textId="77777777" w:rsidR="00845B66" w:rsidRPr="00845B66" w:rsidRDefault="00845B66" w:rsidP="00845B66">
            <w:r w:rsidRPr="00845B66">
              <w:t>Expected shortfall</w:t>
            </w:r>
          </w:p>
        </w:tc>
        <w:tc>
          <w:tcPr>
            <w:tcW w:w="0" w:type="auto"/>
            <w:vAlign w:val="center"/>
            <w:hideMark/>
          </w:tcPr>
          <w:p w14:paraId="22FBFEB4" w14:textId="77777777" w:rsidR="00845B66" w:rsidRPr="00845B66" w:rsidRDefault="00845B66" w:rsidP="00845B66">
            <w:r w:rsidRPr="00845B66">
              <w:t>How severe are losses in the worst scenarios?</w:t>
            </w:r>
          </w:p>
        </w:tc>
      </w:tr>
      <w:tr w:rsidR="00845B66" w:rsidRPr="00845B66" w14:paraId="52D64666" w14:textId="77777777">
        <w:trPr>
          <w:tblCellSpacing w:w="15" w:type="dxa"/>
        </w:trPr>
        <w:tc>
          <w:tcPr>
            <w:tcW w:w="0" w:type="auto"/>
            <w:vAlign w:val="center"/>
            <w:hideMark/>
          </w:tcPr>
          <w:p w14:paraId="659EC559" w14:textId="77777777" w:rsidR="00845B66" w:rsidRPr="00845B66" w:rsidRDefault="00845B66" w:rsidP="00845B66">
            <w:r w:rsidRPr="00845B66">
              <w:t>Maximum drawdown</w:t>
            </w:r>
          </w:p>
        </w:tc>
        <w:tc>
          <w:tcPr>
            <w:tcW w:w="0" w:type="auto"/>
            <w:vAlign w:val="center"/>
            <w:hideMark/>
          </w:tcPr>
          <w:p w14:paraId="1705C153" w14:textId="77777777" w:rsidR="00845B66" w:rsidRPr="00845B66" w:rsidRDefault="00845B66" w:rsidP="00845B66">
            <w:r w:rsidRPr="00845B66">
              <w:t>How much capital could be lost from a prior peak?</w:t>
            </w:r>
          </w:p>
        </w:tc>
      </w:tr>
      <w:tr w:rsidR="00845B66" w:rsidRPr="00845B66" w14:paraId="2581665C" w14:textId="77777777">
        <w:trPr>
          <w:tblCellSpacing w:w="15" w:type="dxa"/>
        </w:trPr>
        <w:tc>
          <w:tcPr>
            <w:tcW w:w="0" w:type="auto"/>
            <w:vAlign w:val="center"/>
            <w:hideMark/>
          </w:tcPr>
          <w:p w14:paraId="01578835" w14:textId="77777777" w:rsidR="00845B66" w:rsidRPr="00845B66" w:rsidRDefault="00845B66" w:rsidP="00845B66">
            <w:r w:rsidRPr="00845B66">
              <w:t>Probability of ruin</w:t>
            </w:r>
          </w:p>
        </w:tc>
        <w:tc>
          <w:tcPr>
            <w:tcW w:w="0" w:type="auto"/>
            <w:vAlign w:val="center"/>
            <w:hideMark/>
          </w:tcPr>
          <w:p w14:paraId="161101DE" w14:textId="77777777" w:rsidR="00845B66" w:rsidRPr="00845B66" w:rsidRDefault="00845B66" w:rsidP="00845B66">
            <w:r w:rsidRPr="00845B66">
              <w:t>How likely is the entity to become unable to meet its defined obligations?</w:t>
            </w:r>
          </w:p>
        </w:tc>
      </w:tr>
      <w:tr w:rsidR="00845B66" w:rsidRPr="00845B66" w14:paraId="5B5D7230" w14:textId="77777777">
        <w:trPr>
          <w:tblCellSpacing w:w="15" w:type="dxa"/>
        </w:trPr>
        <w:tc>
          <w:tcPr>
            <w:tcW w:w="0" w:type="auto"/>
            <w:vAlign w:val="center"/>
            <w:hideMark/>
          </w:tcPr>
          <w:p w14:paraId="7040AC0D" w14:textId="77777777" w:rsidR="00845B66" w:rsidRPr="00845B66" w:rsidRDefault="00845B66" w:rsidP="00845B66">
            <w:r w:rsidRPr="00845B66">
              <w:t>Time to recovery</w:t>
            </w:r>
          </w:p>
        </w:tc>
        <w:tc>
          <w:tcPr>
            <w:tcW w:w="0" w:type="auto"/>
            <w:vAlign w:val="center"/>
            <w:hideMark/>
          </w:tcPr>
          <w:p w14:paraId="7C1561FF" w14:textId="77777777" w:rsidR="00845B66" w:rsidRPr="00845B66" w:rsidRDefault="00845B66" w:rsidP="00845B66">
            <w:r w:rsidRPr="00845B66">
              <w:t>How long might capital remain impaired or unavailable?</w:t>
            </w:r>
          </w:p>
        </w:tc>
      </w:tr>
      <w:tr w:rsidR="00845B66" w:rsidRPr="00845B66" w14:paraId="556CFC3A" w14:textId="77777777">
        <w:trPr>
          <w:tblCellSpacing w:w="15" w:type="dxa"/>
        </w:trPr>
        <w:tc>
          <w:tcPr>
            <w:tcW w:w="0" w:type="auto"/>
            <w:vAlign w:val="center"/>
            <w:hideMark/>
          </w:tcPr>
          <w:p w14:paraId="2AF293B3" w14:textId="77777777" w:rsidR="00845B66" w:rsidRPr="00845B66" w:rsidRDefault="00845B66" w:rsidP="00845B66">
            <w:r w:rsidRPr="00845B66">
              <w:t>Tail exposure</w:t>
            </w:r>
          </w:p>
        </w:tc>
        <w:tc>
          <w:tcPr>
            <w:tcW w:w="0" w:type="auto"/>
            <w:vAlign w:val="center"/>
            <w:hideMark/>
          </w:tcPr>
          <w:p w14:paraId="371901F6" w14:textId="77777777" w:rsidR="00845B66" w:rsidRPr="00845B66" w:rsidRDefault="00845B66" w:rsidP="00845B66">
            <w:r w:rsidRPr="00845B66">
              <w:t>How sensitive is the strategy to rare, severe shocks?</w:t>
            </w:r>
          </w:p>
        </w:tc>
      </w:tr>
      <w:tr w:rsidR="00845B66" w:rsidRPr="00845B66" w14:paraId="3D62C7C0" w14:textId="77777777">
        <w:trPr>
          <w:tblCellSpacing w:w="15" w:type="dxa"/>
        </w:trPr>
        <w:tc>
          <w:tcPr>
            <w:tcW w:w="0" w:type="auto"/>
            <w:vAlign w:val="center"/>
            <w:hideMark/>
          </w:tcPr>
          <w:p w14:paraId="5115304F" w14:textId="77777777" w:rsidR="00845B66" w:rsidRPr="00845B66" w:rsidRDefault="00845B66" w:rsidP="00845B66">
            <w:r w:rsidRPr="00845B66">
              <w:t>Correlated loss</w:t>
            </w:r>
          </w:p>
        </w:tc>
        <w:tc>
          <w:tcPr>
            <w:tcW w:w="0" w:type="auto"/>
            <w:vAlign w:val="center"/>
            <w:hideMark/>
          </w:tcPr>
          <w:p w14:paraId="34EB2E7A" w14:textId="77777777" w:rsidR="00845B66" w:rsidRPr="00845B66" w:rsidRDefault="00845B66" w:rsidP="00845B66">
            <w:r w:rsidRPr="00845B66">
              <w:t>What happens when several positions deteriorate together?</w:t>
            </w:r>
          </w:p>
        </w:tc>
      </w:tr>
      <w:tr w:rsidR="00845B66" w:rsidRPr="00845B66" w14:paraId="057DE000" w14:textId="77777777">
        <w:trPr>
          <w:tblCellSpacing w:w="15" w:type="dxa"/>
        </w:trPr>
        <w:tc>
          <w:tcPr>
            <w:tcW w:w="0" w:type="auto"/>
            <w:vAlign w:val="center"/>
            <w:hideMark/>
          </w:tcPr>
          <w:p w14:paraId="1195EAE4" w14:textId="77777777" w:rsidR="00845B66" w:rsidRPr="00845B66" w:rsidRDefault="00845B66" w:rsidP="00845B66">
            <w:r w:rsidRPr="00845B66">
              <w:t>Edge half-life</w:t>
            </w:r>
          </w:p>
        </w:tc>
        <w:tc>
          <w:tcPr>
            <w:tcW w:w="0" w:type="auto"/>
            <w:vAlign w:val="center"/>
            <w:hideMark/>
          </w:tcPr>
          <w:p w14:paraId="3F60F403" w14:textId="77777777" w:rsidR="00845B66" w:rsidRPr="00845B66" w:rsidRDefault="00845B66" w:rsidP="00845B66">
            <w:r w:rsidRPr="00845B66">
              <w:t>How quickly does the commercial advantage disappear?</w:t>
            </w:r>
          </w:p>
        </w:tc>
      </w:tr>
    </w:tbl>
    <w:p w14:paraId="4907095C" w14:textId="77777777" w:rsidR="00845B66" w:rsidRPr="00845B66" w:rsidRDefault="00845B66" w:rsidP="00845B66">
      <w:r w:rsidRPr="00845B66">
        <w:t>For inventory, I would also track the proportion of capital trapped in slow-moving or impaired stock. That is a distinct risk from a realized accounting loss: the business may still be solvent on paper but unable to finance its next purchase.</w:t>
      </w:r>
    </w:p>
    <w:p w14:paraId="2DFEF274" w14:textId="77777777" w:rsidR="00845B66" w:rsidRPr="00845B66" w:rsidRDefault="00845B66" w:rsidP="00845B66">
      <w:pPr>
        <w:rPr>
          <w:b/>
          <w:bCs/>
        </w:rPr>
      </w:pPr>
      <w:r w:rsidRPr="00845B66">
        <w:rPr>
          <w:b/>
          <w:bCs/>
        </w:rPr>
        <w:t>5. One critical safeguard for the simulation</w:t>
      </w:r>
    </w:p>
    <w:p w14:paraId="28A8126D" w14:textId="77777777" w:rsidR="00845B66" w:rsidRPr="00845B66" w:rsidRDefault="00845B66" w:rsidP="00845B66">
      <w:r w:rsidRPr="00845B66">
        <w:lastRenderedPageBreak/>
        <w:t>We should keep three kinds of conclusions separate:</w:t>
      </w:r>
    </w:p>
    <w:p w14:paraId="52D7A19C" w14:textId="77777777" w:rsidR="00845B66" w:rsidRPr="00845B66" w:rsidRDefault="00845B66" w:rsidP="00845B66">
      <w:pPr>
        <w:numPr>
          <w:ilvl w:val="0"/>
          <w:numId w:val="1"/>
        </w:numPr>
      </w:pPr>
      <w:r w:rsidRPr="00845B66">
        <w:t>Emergence: A market pattern can arise from the simulated rules.</w:t>
      </w:r>
    </w:p>
    <w:p w14:paraId="355FB87C" w14:textId="77777777" w:rsidR="00845B66" w:rsidRPr="00845B66" w:rsidRDefault="00845B66" w:rsidP="00845B66">
      <w:pPr>
        <w:numPr>
          <w:ilvl w:val="0"/>
          <w:numId w:val="1"/>
        </w:numPr>
      </w:pPr>
      <w:r w:rsidRPr="00845B66">
        <w:t>Prediction: The pattern provides information about future outcomes beyond a baseline.</w:t>
      </w:r>
    </w:p>
    <w:p w14:paraId="34354C95" w14:textId="77777777" w:rsidR="00845B66" w:rsidRPr="00845B66" w:rsidRDefault="00845B66" w:rsidP="00845B66">
      <w:pPr>
        <w:numPr>
          <w:ilvl w:val="0"/>
          <w:numId w:val="1"/>
        </w:numPr>
      </w:pPr>
      <w:r w:rsidRPr="00845B66">
        <w:t>Profitability: Acting on that information produces positive risk-adjusted returns after costs.</w:t>
      </w:r>
    </w:p>
    <w:p w14:paraId="7BC7BA4E" w14:textId="77777777" w:rsidR="00845B66" w:rsidRPr="00845B66" w:rsidRDefault="00845B66" w:rsidP="00845B66">
      <w:r w:rsidRPr="00845B66">
        <w:t>Each claim requires stronger evidence than the previous one. The first video illustrates the first; it does not, by itself, establish the second or third.</w:t>
      </w:r>
    </w:p>
    <w:p w14:paraId="38433BCC" w14:textId="77777777" w:rsidR="00845B66" w:rsidRPr="00845B66" w:rsidRDefault="00845B66" w:rsidP="00845B66">
      <w:r w:rsidRPr="00845B66">
        <w:t>Similarly, fractal or heavy-tailed models should be evaluated against observed commercial data, not adopted simply because they can generate dramatic scenarios. We should compare models and preserve uncertainty where the evidence is insufficient.</w:t>
      </w:r>
    </w:p>
    <w:p w14:paraId="0659C586" w14:textId="77777777" w:rsidR="00845B66" w:rsidRPr="00845B66" w:rsidRDefault="00845B66" w:rsidP="00845B66">
      <w:pPr>
        <w:rPr>
          <w:b/>
          <w:bCs/>
        </w:rPr>
      </w:pPr>
      <w:r w:rsidRPr="00845B66">
        <w:rPr>
          <w:b/>
          <w:bCs/>
        </w:rPr>
        <w:t>My architectural recommendation</w:t>
      </w:r>
    </w:p>
    <w:p w14:paraId="3CFB52F0" w14:textId="77777777" w:rsidR="00845B66" w:rsidRPr="00845B66" w:rsidRDefault="00845B66" w:rsidP="00845B66">
      <w:r w:rsidRPr="00845B66">
        <w:t xml:space="preserve">These two videos reinforce a design </w:t>
      </w:r>
      <w:proofErr w:type="gramStart"/>
      <w:r w:rsidRPr="00845B66">
        <w:t>principle</w:t>
      </w:r>
      <w:proofErr w:type="gramEnd"/>
      <w:r w:rsidRPr="00845B66">
        <w:t xml:space="preserve"> worth making explicit in the project records:</w:t>
      </w:r>
    </w:p>
    <w:p w14:paraId="10A98FF1" w14:textId="77777777" w:rsidR="00845B66" w:rsidRPr="00845B66" w:rsidRDefault="00845B66" w:rsidP="00845B66">
      <w:r w:rsidRPr="00845B66">
        <w:t>POC-001 must model how market structure generates opportunities and how market shocks destroy them.</w:t>
      </w:r>
    </w:p>
    <w:p w14:paraId="5403C05B" w14:textId="77777777" w:rsidR="00845B66" w:rsidRPr="00845B66" w:rsidRDefault="00845B66" w:rsidP="00845B66">
      <w:r w:rsidRPr="00845B66">
        <w:t>The existing deterministic economic engine remains the authority for transaction economics. The new simulation layer explores possible market behaviours, while the risk engine tests whether a strategy survives adverse conditions. Observed evidence, simulated outcomes and model assumptions must remain distinguishable throughout.</w:t>
      </w:r>
    </w:p>
    <w:p w14:paraId="2EF7388E" w14:textId="77777777" w:rsidR="00845B66" w:rsidRPr="00845B66" w:rsidRDefault="00845B66" w:rsidP="00845B66">
      <w:r w:rsidRPr="00845B66">
        <w:t>I would add these capabilities to the roadmap after the current repository and Step 6 baseline have been verified. They are significant enough to deserve dedicated modules, tests and decision records—not another sprawling implementation prompt.</w:t>
      </w:r>
    </w:p>
    <w:p w14:paraId="5D415CBA" w14:textId="77777777" w:rsidR="00845B66" w:rsidRPr="00845B66" w:rsidRDefault="00845B66" w:rsidP="00845B66">
      <w:r w:rsidRPr="00845B66">
        <w:t>The next useful step is to turn the video-derived concepts into a traceable set of architectural requirements and adversarial acceptance tests for Antigravity. That lets us incorporate the ideas systematically without destabilizing the working POC.</w:t>
      </w:r>
    </w:p>
    <w:p w14:paraId="14A63B67" w14:textId="77777777" w:rsidR="00845B66" w:rsidRPr="00845B66" w:rsidRDefault="00845B66" w:rsidP="00845B66">
      <w:r w:rsidRPr="00845B66">
        <w:t>foundational research for POC-001’s market-simulation and strategy-validation architecture, not as incidental video notes.</w:t>
      </w:r>
    </w:p>
    <w:p w14:paraId="484188FA" w14:textId="77777777" w:rsidR="00845B66" w:rsidRPr="00845B66" w:rsidRDefault="00845B66" w:rsidP="00845B66">
      <w:r w:rsidRPr="00845B66">
        <w:t>The important shift is that your system should not merely find apparent arbitrage. It should model how commercial opportunities emerge, whether their underlying mechanisms persist, how competing strategies change those opportunities, and whether the business can survive when the model is wrong.</w:t>
      </w:r>
    </w:p>
    <w:p w14:paraId="1530BF42" w14:textId="77777777" w:rsidR="00845B66" w:rsidRPr="00845B66" w:rsidRDefault="00845B66" w:rsidP="00845B66">
      <w:r w:rsidRPr="00845B66">
        <w:t>The material covers three connected areas:</w:t>
      </w:r>
    </w:p>
    <w:p w14:paraId="0A25F1B0" w14:textId="77777777" w:rsidR="00845B66" w:rsidRPr="00845B66" w:rsidRDefault="00845B66" w:rsidP="00845B66">
      <w:pPr>
        <w:numPr>
          <w:ilvl w:val="0"/>
          <w:numId w:val="2"/>
        </w:numPr>
      </w:pPr>
      <w:r w:rsidRPr="00845B66">
        <w:t>High Frequency Trading Ecosystem (HFTE): strategies interacting, competing, adapting and disappearing.</w:t>
      </w:r>
    </w:p>
    <w:p w14:paraId="6CB5B4F1" w14:textId="77777777" w:rsidR="00845B66" w:rsidRPr="00845B66" w:rsidRDefault="00845B66" w:rsidP="00845B66">
      <w:pPr>
        <w:numPr>
          <w:ilvl w:val="0"/>
          <w:numId w:val="2"/>
        </w:numPr>
      </w:pPr>
      <w:r w:rsidRPr="00845B66">
        <w:t>Cointegration and inferred correlation: distinguishing genuine structural relationships from correlations that are misleading or unstable.</w:t>
      </w:r>
    </w:p>
    <w:p w14:paraId="11EB70BF" w14:textId="77777777" w:rsidR="00845B66" w:rsidRPr="00845B66" w:rsidRDefault="00845B66" w:rsidP="00845B66">
      <w:pPr>
        <w:numPr>
          <w:ilvl w:val="0"/>
          <w:numId w:val="2"/>
        </w:numPr>
      </w:pPr>
      <w:r w:rsidRPr="00845B66">
        <w:t>Implied-volatility surface parameterisation and arbitrage constraints: representing a complex market state while enforcing consistency conditions rather than accepting every observed price at face value.</w:t>
      </w:r>
    </w:p>
    <w:p w14:paraId="10511825" w14:textId="77777777" w:rsidR="00845B66" w:rsidRPr="00845B66" w:rsidRDefault="00845B66" w:rsidP="00845B66">
      <w:r w:rsidRPr="00845B66">
        <w:lastRenderedPageBreak/>
        <w:t>I’ll keep the original research’s claims separate from what we can responsibly adapt to physical-product arbitrage. Financial-market models are useful analogies here, but their assumptions do not automatically hold for industrial goods, marketplace listings or supplier quotations.</w:t>
      </w:r>
    </w:p>
    <w:p w14:paraId="1218053B" w14:textId="77777777" w:rsidR="00845B66" w:rsidRPr="00845B66" w:rsidRDefault="00845B66" w:rsidP="00845B66">
      <w:pPr>
        <w:rPr>
          <w:b/>
          <w:bCs/>
        </w:rPr>
      </w:pPr>
      <w:r w:rsidRPr="00845B66">
        <w:rPr>
          <w:b/>
          <w:bCs/>
        </w:rPr>
        <w:t>What this changes in POC-001</w:t>
      </w:r>
    </w:p>
    <w:p w14:paraId="3E8D6E58" w14:textId="77777777" w:rsidR="00845B66" w:rsidRPr="00845B66" w:rsidRDefault="00845B66" w:rsidP="00845B66">
      <w:r w:rsidRPr="00845B66">
        <w:t>I see five architectural implications worth preserving.</w:t>
      </w:r>
    </w:p>
    <w:p w14:paraId="52CEEB80" w14:textId="77777777" w:rsidR="00845B66" w:rsidRPr="00845B66" w:rsidRDefault="00845B66" w:rsidP="00845B66">
      <w:r w:rsidRPr="00845B66">
        <w:t>1. Model an ecosystem, not a list of opportunities</w:t>
      </w:r>
    </w:p>
    <w:p w14:paraId="672D7CEB" w14:textId="77777777" w:rsidR="00845B66" w:rsidRPr="00845B66" w:rsidRDefault="00845B66" w:rsidP="00845B66">
      <w:r w:rsidRPr="00845B66">
        <w:t>The HFTE model represents strategies as interacting agents. Its strategy families compete, adapt, survive or disappear over successive generations. POC-001 can apply that idea to suppliers, competing sellers, buyers and sourcing/pricing strategies.</w:t>
      </w:r>
    </w:p>
    <w:p w14:paraId="571E2108" w14:textId="77777777" w:rsidR="00845B66" w:rsidRPr="00845B66" w:rsidRDefault="00845B66" w:rsidP="00845B66">
      <w:r w:rsidRPr="00845B66">
        <w:t>For example, a sourcing advantage may initially be profitable; competitors discover it, demand for the input rises, supplier prices increase, and the advantage decays. The simulation should allow this sequence to emerge from rules and constraints rather than hard-code the expected outcome.</w:t>
      </w:r>
    </w:p>
    <w:p w14:paraId="39E60BB2" w14:textId="77777777" w:rsidR="00845B66" w:rsidRPr="00845B66" w:rsidRDefault="00845B66" w:rsidP="00845B66">
      <w:r w:rsidRPr="00845B66">
        <w:t>2. Infer relationships from mechanisms, not correlation alone</w:t>
      </w:r>
    </w:p>
    <w:p w14:paraId="495B72B2" w14:textId="77777777" w:rsidR="00845B66" w:rsidRPr="00845B66" w:rsidRDefault="00845B66" w:rsidP="00845B66">
      <w:r w:rsidRPr="00845B66">
        <w:t xml:space="preserve">The </w:t>
      </w:r>
      <w:proofErr w:type="spellStart"/>
      <w:r w:rsidRPr="00845B66">
        <w:t>Cointelation</w:t>
      </w:r>
      <w:proofErr w:type="spellEnd"/>
      <w:r w:rsidRPr="00845B66">
        <w:t xml:space="preserve"> transcripts question whether measured correlation adequately describes the relationship between two processes. For POC-001, two products moving together in price does not prove that one predicts the other.</w:t>
      </w:r>
    </w:p>
    <w:p w14:paraId="544BF7FF" w14:textId="77777777" w:rsidR="00845B66" w:rsidRPr="00845B66" w:rsidRDefault="00845B66" w:rsidP="00845B66">
      <w:r w:rsidRPr="00845B66">
        <w:t>Record the plausible mechanism behind each dependency: shared supplier, common raw material, substitute demand, common logistics route, or marketplace fee exposure. Then test whether that relationship persists across time periods and changing conditions. If no credible mechanism or stable evidence exists, keep the relationship uncertain.</w:t>
      </w:r>
    </w:p>
    <w:p w14:paraId="0175C99B" w14:textId="77777777" w:rsidR="00845B66" w:rsidRPr="00845B66" w:rsidRDefault="00845B66" w:rsidP="00845B66">
      <w:r w:rsidRPr="00845B66">
        <w:t>3. Build a constrained commercial-state model</w:t>
      </w:r>
    </w:p>
    <w:p w14:paraId="1EC3FC3A" w14:textId="77777777" w:rsidR="00845B66" w:rsidRPr="00845B66" w:rsidRDefault="00845B66" w:rsidP="00845B66">
      <w:r w:rsidRPr="00845B66">
        <w:t>The implied-volatility parameterisation material tackles a complex surface by representing it with a manageable set of factors, while considering liquidity and arbitrage constraints.</w:t>
      </w:r>
    </w:p>
    <w:p w14:paraId="5FB00A65" w14:textId="77777777" w:rsidR="00845B66" w:rsidRPr="00845B66" w:rsidRDefault="00845B66" w:rsidP="00845B66">
      <w:r w:rsidRPr="00845B66">
        <w:t>The analogue here is a structured commercial state across SKU, supplier, pack size, order quantity, channel and time. It should capture price, available quantity, lead time, fees, uncertainty and size-dependent costs. Larger orders must be allowed to change the economics through MOQs, discounts, capacity constraints or delivery delays.</w:t>
      </w:r>
    </w:p>
    <w:p w14:paraId="7F8BBB69" w14:textId="77777777" w:rsidR="00845B66" w:rsidRPr="00845B66" w:rsidRDefault="00845B66" w:rsidP="00845B66">
      <w:r w:rsidRPr="00845B66">
        <w:t>The important principle is to reduce complexity without losing economically material differences—and enforce only constraints that genuinely apply to the product market being modelled.</w:t>
      </w:r>
    </w:p>
    <w:p w14:paraId="2EA1B743" w14:textId="77777777" w:rsidR="00845B66" w:rsidRPr="00845B66" w:rsidRDefault="00845B66" w:rsidP="00845B66">
      <w:r w:rsidRPr="00845B66">
        <w:t>4. Validate survival, not just profitability</w:t>
      </w:r>
    </w:p>
    <w:p w14:paraId="0D005298" w14:textId="77777777" w:rsidR="00845B66" w:rsidRPr="00845B66" w:rsidRDefault="00845B66" w:rsidP="00845B66">
      <w:r w:rsidRPr="00845B66">
        <w:t>The HFTE ecosystem's illustrative survival criterion uses strategy P&amp;L. For our purposes, positive P&amp;L alone is too weak: a strategy can look profitable while tying up all available cash in slow-moving inventory.</w:t>
      </w:r>
    </w:p>
    <w:p w14:paraId="606D4F1C" w14:textId="77777777" w:rsidR="00845B66" w:rsidRPr="00845B66" w:rsidRDefault="00845B66" w:rsidP="00845B66">
      <w:r w:rsidRPr="00845B66">
        <w:t>Strategy evaluation should include risk-adjusted return on deployed capital, cash-recovery time, inventory impairment, supplier concentration, downside scenarios and probability of being unable to meet obligations. Survival thresholds and strategy promotion rules should be explicit and independently tested.</w:t>
      </w:r>
    </w:p>
    <w:p w14:paraId="5C80C05C" w14:textId="77777777" w:rsidR="00845B66" w:rsidRPr="00845B66" w:rsidRDefault="00845B66" w:rsidP="00845B66">
      <w:r w:rsidRPr="00845B66">
        <w:t>5. Keep discovery separate from proof</w:t>
      </w:r>
    </w:p>
    <w:p w14:paraId="5260656F" w14:textId="77777777" w:rsidR="00845B66" w:rsidRPr="00845B66" w:rsidRDefault="00845B66" w:rsidP="00845B66">
      <w:r w:rsidRPr="00845B66">
        <w:lastRenderedPageBreak/>
        <w:t>A simulation can generate an apparent edge without proving that it exists in the real market. A detected pattern must pass three separate gates:</w:t>
      </w:r>
    </w:p>
    <w:p w14:paraId="57202F43" w14:textId="77777777" w:rsidR="00845B66" w:rsidRPr="00845B66" w:rsidRDefault="00845B66" w:rsidP="00845B66">
      <w:pPr>
        <w:numPr>
          <w:ilvl w:val="0"/>
          <w:numId w:val="3"/>
        </w:numPr>
      </w:pPr>
      <w:r w:rsidRPr="00845B66">
        <w:t>Emergence: can the pattern arise from the model's rules?</w:t>
      </w:r>
    </w:p>
    <w:p w14:paraId="08C1F250" w14:textId="77777777" w:rsidR="00845B66" w:rsidRPr="00845B66" w:rsidRDefault="00845B66" w:rsidP="00845B66">
      <w:pPr>
        <w:numPr>
          <w:ilvl w:val="0"/>
          <w:numId w:val="3"/>
        </w:numPr>
      </w:pPr>
      <w:r w:rsidRPr="00845B66">
        <w:t>Predictive validity: does it persist on unseen, time-separated evidence?</w:t>
      </w:r>
    </w:p>
    <w:p w14:paraId="137999CB" w14:textId="77777777" w:rsidR="00845B66" w:rsidRPr="00845B66" w:rsidRDefault="00845B66" w:rsidP="00845B66">
      <w:pPr>
        <w:numPr>
          <w:ilvl w:val="0"/>
          <w:numId w:val="3"/>
        </w:numPr>
      </w:pPr>
      <w:r w:rsidRPr="00845B66">
        <w:t>Commercial viability: does it remain profitable after realistic acquisition costs, fees, returns, holding periods and capital constraints?</w:t>
      </w:r>
    </w:p>
    <w:p w14:paraId="3B0DB319" w14:textId="77777777" w:rsidR="00845B66" w:rsidRPr="00845B66" w:rsidRDefault="00845B66" w:rsidP="00845B66">
      <w:r w:rsidRPr="00845B66">
        <w:t>Only then should an opportunity qualify for a controlled paper deployment. Paper results remain simulated results, not actual inventory, revenue or cash.</w:t>
      </w:r>
    </w:p>
    <w:p w14:paraId="179CA252" w14:textId="77777777" w:rsidR="00845B66" w:rsidRPr="00845B66" w:rsidRDefault="00845B66" w:rsidP="00845B66">
      <w:pPr>
        <w:rPr>
          <w:b/>
          <w:bCs/>
        </w:rPr>
      </w:pPr>
      <w:r w:rsidRPr="00845B66">
        <w:rPr>
          <w:b/>
          <w:bCs/>
        </w:rPr>
        <w:t>The architectural boundary I would preserve</w:t>
      </w:r>
    </w:p>
    <w:p w14:paraId="6F0BEE44" w14:textId="77777777" w:rsidR="00845B66" w:rsidRPr="00845B66" w:rsidRDefault="00845B66" w:rsidP="00845B66">
      <w:r w:rsidRPr="00845B66">
        <w:t>These research ideas should extend POC-001, not replace its existing deterministic financial engine.</w:t>
      </w:r>
    </w:p>
    <w:p w14:paraId="37C095AC" w14:textId="77777777" w:rsidR="00845B66" w:rsidRPr="00845B66" w:rsidRDefault="00845B66" w:rsidP="00845B66">
      <w:pPr>
        <w:numPr>
          <w:ilvl w:val="0"/>
          <w:numId w:val="4"/>
        </w:numPr>
      </w:pPr>
      <w:r w:rsidRPr="00845B66">
        <w:t>Observed evidence: sourced quotes, listings, availability, actual transactions where available, timestamps and verification status.</w:t>
      </w:r>
    </w:p>
    <w:p w14:paraId="723AC1C5" w14:textId="77777777" w:rsidR="00845B66" w:rsidRPr="00845B66" w:rsidRDefault="00845B66" w:rsidP="00845B66">
      <w:pPr>
        <w:numPr>
          <w:ilvl w:val="0"/>
          <w:numId w:val="4"/>
        </w:numPr>
      </w:pPr>
      <w:r w:rsidRPr="00845B66">
        <w:t>Deterministic economics: acquisition cost, fees, contribution, cash flows, inventory valuation and accounting calculations.</w:t>
      </w:r>
    </w:p>
    <w:p w14:paraId="53289E0C" w14:textId="77777777" w:rsidR="00845B66" w:rsidRPr="00845B66" w:rsidRDefault="00845B66" w:rsidP="00845B66">
      <w:pPr>
        <w:numPr>
          <w:ilvl w:val="0"/>
          <w:numId w:val="4"/>
        </w:numPr>
      </w:pPr>
      <w:r w:rsidRPr="00845B66">
        <w:t>Simulation: competing agents, strategy evolution, scenario generation and possible market dynamics.</w:t>
      </w:r>
    </w:p>
    <w:p w14:paraId="58441962" w14:textId="77777777" w:rsidR="00845B66" w:rsidRPr="00845B66" w:rsidRDefault="00845B66" w:rsidP="00845B66">
      <w:pPr>
        <w:numPr>
          <w:ilvl w:val="0"/>
          <w:numId w:val="4"/>
        </w:numPr>
      </w:pPr>
      <w:r w:rsidRPr="00845B66">
        <w:t>Risk and validation: independent limits, out-of-sample tests, dependency analysis, stress tests and kill conditions.</w:t>
      </w:r>
    </w:p>
    <w:p w14:paraId="478EBB70" w14:textId="77777777" w:rsidR="00845B66" w:rsidRPr="00845B66" w:rsidRDefault="00845B66" w:rsidP="00845B66">
      <w:pPr>
        <w:numPr>
          <w:ilvl w:val="0"/>
          <w:numId w:val="4"/>
        </w:numPr>
      </w:pPr>
      <w:r w:rsidRPr="00845B66">
        <w:t>Decision layer: continue, review, reject, scale or exit—with traceable evidence and reasons.</w:t>
      </w:r>
    </w:p>
    <w:p w14:paraId="49B994AC" w14:textId="77777777" w:rsidR="00845B66" w:rsidRPr="00845B66" w:rsidRDefault="00845B66" w:rsidP="00845B66">
      <w:r w:rsidRPr="00845B66">
        <w:t>The genetic-algorithm approach from the HFTE presentation is a possible later research module, not a prerequisite for the next implementation step. Begin with interpretable rule-based agents and benchmark them against simple baselines. Only introduce evolutionary optimisation if it adds demonstrable out-of-sample value; otherwise, it risks evolving strategies that exploit defects in the simulator.</w:t>
      </w:r>
    </w:p>
    <w:p w14:paraId="6F897448" w14:textId="77777777" w:rsidR="00845B66" w:rsidRPr="00845B66" w:rsidRDefault="00845B66" w:rsidP="00845B66">
      <w:r w:rsidRPr="00845B66">
        <w:t>My main takeaway: POC-001 should become an experimentally testable model of a changing commercial ecosystem, with capital survival and evidence quality as first-class constraints—not simply an automated product-price comparison tool.</w:t>
      </w:r>
    </w:p>
    <w:p w14:paraId="19F9A025" w14:textId="77777777" w:rsidR="00C612CB" w:rsidRDefault="00C612CB"/>
    <w:sectPr w:rsidR="00C61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8AF"/>
    <w:multiLevelType w:val="multilevel"/>
    <w:tmpl w:val="DFB4A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B05E11"/>
    <w:multiLevelType w:val="multilevel"/>
    <w:tmpl w:val="DC3E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149D9"/>
    <w:multiLevelType w:val="multilevel"/>
    <w:tmpl w:val="8AD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156CF"/>
    <w:multiLevelType w:val="multilevel"/>
    <w:tmpl w:val="1D1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952750">
    <w:abstractNumId w:val="0"/>
  </w:num>
  <w:num w:numId="2" w16cid:durableId="1890220178">
    <w:abstractNumId w:val="2"/>
  </w:num>
  <w:num w:numId="3" w16cid:durableId="1576666161">
    <w:abstractNumId w:val="1"/>
  </w:num>
  <w:num w:numId="4" w16cid:durableId="914782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66"/>
    <w:rsid w:val="005E429B"/>
    <w:rsid w:val="00845B66"/>
    <w:rsid w:val="00A0677C"/>
    <w:rsid w:val="00B0148D"/>
    <w:rsid w:val="00C61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182AB"/>
  <w15:chartTrackingRefBased/>
  <w15:docId w15:val="{C7FFA4A9-4EF8-4B0C-ADE1-7D2D99E0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B66"/>
    <w:rPr>
      <w:rFonts w:eastAsiaTheme="majorEastAsia" w:cstheme="majorBidi"/>
      <w:color w:val="272727" w:themeColor="text1" w:themeTint="D8"/>
    </w:rPr>
  </w:style>
  <w:style w:type="paragraph" w:styleId="Title">
    <w:name w:val="Title"/>
    <w:basedOn w:val="Normal"/>
    <w:next w:val="Normal"/>
    <w:link w:val="TitleChar"/>
    <w:uiPriority w:val="10"/>
    <w:qFormat/>
    <w:rsid w:val="00845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B66"/>
    <w:pPr>
      <w:spacing w:before="160"/>
      <w:jc w:val="center"/>
    </w:pPr>
    <w:rPr>
      <w:i/>
      <w:iCs/>
      <w:color w:val="404040" w:themeColor="text1" w:themeTint="BF"/>
    </w:rPr>
  </w:style>
  <w:style w:type="character" w:customStyle="1" w:styleId="QuoteChar">
    <w:name w:val="Quote Char"/>
    <w:basedOn w:val="DefaultParagraphFont"/>
    <w:link w:val="Quote"/>
    <w:uiPriority w:val="29"/>
    <w:rsid w:val="00845B66"/>
    <w:rPr>
      <w:i/>
      <w:iCs/>
      <w:color w:val="404040" w:themeColor="text1" w:themeTint="BF"/>
    </w:rPr>
  </w:style>
  <w:style w:type="paragraph" w:styleId="ListParagraph">
    <w:name w:val="List Paragraph"/>
    <w:basedOn w:val="Normal"/>
    <w:uiPriority w:val="34"/>
    <w:qFormat/>
    <w:rsid w:val="00845B66"/>
    <w:pPr>
      <w:ind w:left="720"/>
      <w:contextualSpacing/>
    </w:pPr>
  </w:style>
  <w:style w:type="character" w:styleId="IntenseEmphasis">
    <w:name w:val="Intense Emphasis"/>
    <w:basedOn w:val="DefaultParagraphFont"/>
    <w:uiPriority w:val="21"/>
    <w:qFormat/>
    <w:rsid w:val="00845B66"/>
    <w:rPr>
      <w:i/>
      <w:iCs/>
      <w:color w:val="2F5496" w:themeColor="accent1" w:themeShade="BF"/>
    </w:rPr>
  </w:style>
  <w:style w:type="paragraph" w:styleId="IntenseQuote">
    <w:name w:val="Intense Quote"/>
    <w:basedOn w:val="Normal"/>
    <w:next w:val="Normal"/>
    <w:link w:val="IntenseQuoteChar"/>
    <w:uiPriority w:val="30"/>
    <w:qFormat/>
    <w:rsid w:val="00845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B66"/>
    <w:rPr>
      <w:i/>
      <w:iCs/>
      <w:color w:val="2F5496" w:themeColor="accent1" w:themeShade="BF"/>
    </w:rPr>
  </w:style>
  <w:style w:type="character" w:styleId="IntenseReference">
    <w:name w:val="Intense Reference"/>
    <w:basedOn w:val="DefaultParagraphFont"/>
    <w:uiPriority w:val="32"/>
    <w:qFormat/>
    <w:rsid w:val="00845B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1447</Words>
  <Characters>8253</Characters>
  <Application>Microsoft Office Word</Application>
  <DocSecurity>0</DocSecurity>
  <Lines>68</Lines>
  <Paragraphs>19</Paragraphs>
  <ScaleCrop>false</ScaleCrop>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PAYEL SAHA</dc:creator>
  <cp:keywords/>
  <dc:description/>
  <cp:lastModifiedBy>PAYEL SAHA</cp:lastModifiedBy>
  <cp:revision>1</cp:revision>
  <dcterms:created xsi:type="dcterms:W3CDTF">2026-10-10T09:07:00Z</dcterms:created>
  <dcterms:modified xsi:type="dcterms:W3CDTF">2026-10-10T09:41:00Z</dcterms:modified>
</cp:coreProperties>
</file>