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Text Classification Pipeline Forensics: Diagnosing Trustworthy Change in a Disaster-Tweet Classifier</w:t>
      </w:r>
    </w:p>
    <w:p>
      <w:pPr>
        <w:spacing w:after="40"/>
        <w:jc w:val="center"/>
      </w:pPr>
      <w:r>
        <w:rPr>
          <w:rFonts w:ascii="Times New Roman" w:cs="Times New Roman" w:eastAsia="Times New Roman" w:hAnsi="Times New Roman"/>
          <w:sz w:val="22"/>
          <w:szCs w:val="22"/>
        </w:rPr>
        <w:t xml:space="preserve">[Author names — team members to fill in]</w:t>
      </w:r>
    </w:p>
    <w:p>
      <w:pPr>
        <w:spacing w:after="300"/>
        <w:jc w:val="center"/>
      </w:pPr>
      <w:r>
        <w:rPr>
          <w:rFonts w:ascii="Times New Roman" w:cs="Times New Roman" w:eastAsia="Times New Roman" w:hAnsi="Times New Roman"/>
          <w:i/>
          <w:iCs/>
          <w:sz w:val="20"/>
          <w:szCs w:val="20"/>
        </w:rPr>
        <w:t xml:space="preserve">[Department / Institution — team members to fill in]</w:t>
      </w:r>
    </w:p>
    <w:p>
      <w:pPr>
        <w:sectPr>
          <w:pgSz w:w="12240" w:h="15840" w:orient="portrait"/>
          <w:pgMar w:top="1080" w:right="900" w:bottom="1440" w:left="900" w:header="708" w:footer="708" w:gutter="0"/>
          <w:pgNumType/>
          <w:docGrid w:linePitch="360"/>
        </w:sectPr>
      </w:pPr>
    </w:p>
    <w:p>
      <w:pPr>
        <w:spacing w:after="160" w:line="240"/>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i/>
          <w:iCs/>
          <w:sz w:val="18"/>
          <w:szCs w:val="18"/>
        </w:rPr>
        <w:t xml:space="preserve">We build a CPU-only TF-IDF + Logistic Regression pipeline for the Kaggle Disaster Tweets binary classification task and investigate five hypotheses about pipeline and data-quality changes using a fixed train/dev/held-out split (4567/1523/1523 examples). Rather than reporting only score deltas, we pair every comparison with McNemar's exact test and, where relevant, a bootstrap confidence interval and a mechanism-level trace of why a score changed. Across all five investigations, we find a consistent pattern: several headline-looking improvements are not statistically distinguishable from their baseline at this sample size, one “safe-looking” data correction significantly hurts held-out performance, and a normalization choice's real cause is unrelated to its stated hypothesis. We argue this pattern of over-attributing small score changes to intended mechanisms is the central risk the assignment's forensics framing warns against, and we show a concrete, reproducible methodology for catching it.</w:t>
      </w:r>
    </w:p>
    <w:p>
      <w:pPr>
        <w:spacing w:after="200" w:line="240"/>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i/>
          <w:iCs/>
          <w:sz w:val="18"/>
          <w:szCs w:val="18"/>
        </w:rPr>
        <w:t xml:space="preserve">text classification, TF-IDF, reproducibility, McNemar's test, data quality, disaster tweets</w:t>
      </w:r>
    </w:p>
    <w:p>
      <w:pPr>
        <w:spacing w:after="120" w:before="200"/>
        <w:jc w:val="center"/>
      </w:pPr>
      <w:r>
        <w:rPr>
          <w:rFonts w:ascii="Times New Roman" w:cs="Times New Roman" w:eastAsia="Times New Roman" w:hAnsi="Times New Roman"/>
          <w:b/>
          <w:bCs/>
          <w:sz w:val="20"/>
          <w:szCs w:val="20"/>
        </w:rPr>
        <w:t xml:space="preserve">I. Project Problem and Goal</w:t>
      </w:r>
    </w:p>
    <w:p>
      <w:pPr>
        <w:spacing w:after="120" w:line="240"/>
        <w:jc w:val="both"/>
      </w:pPr>
      <w:r>
        <w:rPr>
          <w:rFonts w:ascii="Times New Roman" w:cs="Times New Roman" w:eastAsia="Times New Roman" w:hAnsi="Times New Roman"/>
          <w:sz w:val="20"/>
          <w:szCs w:val="20"/>
        </w:rPr>
        <w:t xml:space="preserve">Text classification pipelines are frequently evaluated by a single held-out score, but a score change alone does not indicate why a model improved or whether the improvement reflects genuine task understanding, threshold artifacts, or dataset-specific shortcuts. The central problem addressed in this project is diagnosing whether five specific categories of pipeline change to a disaster-tweet classifier are genuinely trustworthy: (1) baseline reproducibility against a published reference contract, (2) text normalization choices, (3) reliance on shallow/metadata features as opposed to text content, (4) decision-rule and model choices, and (5) training-data quality issues. Our goal is not simply to maximize held-out F1, but to determine, for each change, whether the observed effect is statistically real, mechanistically matches its stated hypothesis, and would plausibly generalize beyond this specific fixed split.</w:t>
      </w:r>
    </w:p>
    <w:p>
      <w:pPr>
        <w:spacing w:after="120" w:before="200"/>
        <w:jc w:val="center"/>
      </w:pPr>
      <w:r>
        <w:rPr>
          <w:rFonts w:ascii="Times New Roman" w:cs="Times New Roman" w:eastAsia="Times New Roman" w:hAnsi="Times New Roman"/>
          <w:b/>
          <w:bCs/>
          <w:sz w:val="20"/>
          <w:szCs w:val="20"/>
        </w:rPr>
        <w:t xml:space="preserve">II. Methodology</w:t>
      </w:r>
    </w:p>
    <w:p>
      <w:pPr>
        <w:spacing w:after="120" w:line="240"/>
      </w:pPr>
      <w:r>
        <w:rPr>
          <w:rFonts w:ascii="Times New Roman" w:cs="Times New Roman" w:eastAsia="Times New Roman" w:hAnsi="Times New Roman"/>
          <w:b/>
          <w:bCs/>
          <w:sz w:val="20"/>
          <w:szCs w:val="20"/>
        </w:rPr>
        <w:t xml:space="preserve">Data and split. </w:t>
      </w:r>
      <w:r>
        <w:rPr>
          <w:rFonts w:ascii="Times New Roman" w:cs="Times New Roman" w:eastAsia="Times New Roman" w:hAnsi="Times New Roman"/>
          <w:sz w:val="20"/>
          <w:szCs w:val="20"/>
        </w:rPr>
        <w:t xml:space="preserve">We use the full labeled Kaggle Disaster Tweets train.csv (7613 rows; 3271 positive / 4342 negative), downloaded from the public mirror specified by the assignment. We apply the provided fixed, stratified split (split_indices.json, seed 3102) to obtain 4567 training, 1523 development, and 1523 held-out examples, and verify zero id overlap and zero duplicate ids across splits before any modeling. The development split is used exclusively for selecting preprocessing, thresholds, and model variants; the held-out split is touched exactly once per frozen decision.</w:t>
      </w:r>
    </w:p>
    <w:p>
      <w:pPr>
        <w:spacing w:after="120" w:line="240"/>
      </w:pPr>
      <w:r>
        <w:rPr>
          <w:rFonts w:ascii="Times New Roman" w:cs="Times New Roman" w:eastAsia="Times New Roman" w:hAnsi="Times New Roman"/>
          <w:b/>
          <w:bCs/>
          <w:sz w:val="20"/>
          <w:szCs w:val="20"/>
        </w:rPr>
        <w:t xml:space="preserve">Baseline model. </w:t>
      </w:r>
      <w:r>
        <w:rPr>
          <w:rFonts w:ascii="Times New Roman" w:cs="Times New Roman" w:eastAsia="Times New Roman" w:hAnsi="Times New Roman"/>
          <w:sz w:val="20"/>
          <w:szCs w:val="20"/>
        </w:rPr>
        <w:t xml:space="preserve">Our reference-reproducing configuration is a TF-IDF vectorizer (unigrams only, min_df=1, max_df=1.0, no sublinear term-frequency scaling) feeding a Logistic Regression classifier (C=2.0, lbfgs solver, seed 3102), selected via a manual grid search targeting the published reference metric (reference_baseline_f1 = 0.7574, tolerance ±0.001).</w:t>
      </w:r>
    </w:p>
    <w:p>
      <w:pPr>
        <w:spacing w:after="120" w:line="240"/>
      </w:pPr>
      <w:r>
        <w:rPr>
          <w:rFonts w:ascii="Times New Roman" w:cs="Times New Roman" w:eastAsia="Times New Roman" w:hAnsi="Times New Roman"/>
          <w:b/>
          <w:bCs/>
          <w:sz w:val="20"/>
          <w:szCs w:val="20"/>
        </w:rPr>
        <w:t xml:space="preserve">Statistical validation. </w:t>
      </w:r>
      <w:r>
        <w:rPr>
          <w:rFonts w:ascii="Times New Roman" w:cs="Times New Roman" w:eastAsia="Times New Roman" w:hAnsi="Times New Roman"/>
          <w:sz w:val="20"/>
          <w:szCs w:val="20"/>
        </w:rPr>
        <w:t xml:space="preserve">Because the held-out split contains only 1523 examples, raw F1 deltas of the size typically produced by a single lever change (0.001–0.02) are not, by themselves, evidence of a real effect. For every controlled comparison we therefore additionally report McNemar's exact test on the paired right/wrong outcomes of the two models being compared, and, where useful, a 2000-resample bootstrap 95% confidence interval.</w:t>
      </w:r>
    </w:p>
    <w:p>
      <w:pPr>
        <w:spacing w:after="160" w:line="240"/>
      </w:pPr>
      <w:r>
        <w:rPr>
          <w:rFonts w:ascii="Times New Roman" w:cs="Times New Roman" w:eastAsia="Times New Roman" w:hAnsi="Times New Roman"/>
          <w:b/>
          <w:bCs/>
          <w:sz w:val="20"/>
          <w:szCs w:val="20"/>
        </w:rPr>
        <w:t xml:space="preserve">Per-ticket design. </w:t>
      </w:r>
      <w:r>
        <w:rPr>
          <w:rFonts w:ascii="Times New Roman" w:cs="Times New Roman" w:eastAsia="Times New Roman" w:hAnsi="Times New Roman"/>
          <w:sz w:val="20"/>
          <w:szCs w:val="20"/>
        </w:rPr>
        <w:t xml:space="preserve">Each ticket follows the same protocol: state a hypothesis and a single intended lever, compare candidate settings on the development split only, freeze one decision, evaluate that frozen decision once on the held-out split, and report the resulting error decomposition.</w:t>
      </w:r>
    </w:p>
    <w:p>
      <w:pPr>
        <w:spacing w:after="120" w:before="200"/>
        <w:jc w:val="center"/>
      </w:pPr>
      <w:r>
        <w:rPr>
          <w:rFonts w:ascii="Times New Roman" w:cs="Times New Roman" w:eastAsia="Times New Roman" w:hAnsi="Times New Roman"/>
          <w:b/>
          <w:bCs/>
          <w:sz w:val="20"/>
          <w:szCs w:val="20"/>
        </w:rPr>
        <w:t xml:space="preserve">III. Main Evidence and Results</w:t>
      </w:r>
    </w:p>
    <w:p>
      <w:pPr>
        <w:spacing w:after="120" w:line="240"/>
        <w:jc w:val="both"/>
      </w:pPr>
      <w:r>
        <w:rPr>
          <w:rFonts w:ascii="Times New Roman" w:cs="Times New Roman" w:eastAsia="Times New Roman" w:hAnsi="Times New Roman"/>
          <w:sz w:val="20"/>
          <w:szCs w:val="20"/>
        </w:rPr>
        <w:t xml:space="preserve">Table I summarizes the frozen decision and held-out result for each ticket.</w:t>
      </w:r>
    </w:p>
    <w:p>
      <w:pPr>
        <w:spacing w:after="100" w:before="100"/>
        <w:jc w:val="center"/>
      </w:pPr>
      <w:r>
        <w:rPr>
          <w:rFonts w:ascii="Times New Roman" w:cs="Times New Roman" w:eastAsia="Times New Roman" w:hAnsi="Times New Roman"/>
          <w:b/>
          <w:bCs/>
          <w:sz w:val="16"/>
          <w:szCs w:val="16"/>
        </w:rPr>
        <w:t xml:space="preserve">TABLE I</w:t>
      </w:r>
      <w:r>
        <w:br/>
        <w:t xml:space="preserve"/>
      </w:r>
      <w:r>
        <w:rPr>
          <w:rFonts w:ascii="Times New Roman" w:cs="Times New Roman" w:eastAsia="Times New Roman" w:hAnsi="Times New Roman"/>
          <w:b/>
          <w:bCs/>
          <w:sz w:val="16"/>
          <w:szCs w:val="16"/>
        </w:rPr>
        <w:t xml:space="preserve">SUMMARY OF FROZEN DECISIONS AND HELD-OUT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shd w:fill="D9D9D9" w:val="clear"/>
            <w:tcMar>
              <w:top w:type="dxa" w:w="40"/>
              <w:left w:type="dxa" w:w="60"/>
              <w:bottom w:type="dxa" w:w="40"/>
              <w:right w:type="dxa" w:w="60"/>
            </w:tcMar>
          </w:tcPr>
          <w:p>
            <w:pPr>
              <w:spacing w:after="0"/>
              <w:jc w:val="center"/>
            </w:pPr>
            <w:r>
              <w:rPr>
                <w:rFonts w:ascii="Times New Roman" w:cs="Times New Roman" w:eastAsia="Times New Roman" w:hAnsi="Times New Roman"/>
                <w:b/>
                <w:bCs/>
                <w:sz w:val="13"/>
                <w:szCs w:val="13"/>
              </w:rPr>
              <w:t xml:space="preserve">Ticket</w:t>
            </w:r>
          </w:p>
        </w:tc>
        <w:tc>
          <w:tcPr>
            <w:tcW w:type="pct" w:w="20%"/>
            <w:shd w:fill="D9D9D9" w:val="clear"/>
            <w:tcMar>
              <w:top w:type="dxa" w:w="40"/>
              <w:left w:type="dxa" w:w="60"/>
              <w:bottom w:type="dxa" w:w="40"/>
              <w:right w:type="dxa" w:w="60"/>
            </w:tcMar>
          </w:tcPr>
          <w:p>
            <w:pPr>
              <w:spacing w:after="0"/>
              <w:jc w:val="center"/>
            </w:pPr>
            <w:r>
              <w:rPr>
                <w:rFonts w:ascii="Times New Roman" w:cs="Times New Roman" w:eastAsia="Times New Roman" w:hAnsi="Times New Roman"/>
                <w:b/>
                <w:bCs/>
                <w:sz w:val="13"/>
                <w:szCs w:val="13"/>
              </w:rPr>
              <w:t xml:space="preserve">Decision</w:t>
            </w:r>
          </w:p>
        </w:tc>
        <w:tc>
          <w:tcPr>
            <w:tcW w:type="pct" w:w="20%"/>
            <w:shd w:fill="D9D9D9" w:val="clear"/>
            <w:tcMar>
              <w:top w:type="dxa" w:w="40"/>
              <w:left w:type="dxa" w:w="60"/>
              <w:bottom w:type="dxa" w:w="40"/>
              <w:right w:type="dxa" w:w="60"/>
            </w:tcMar>
          </w:tcPr>
          <w:p>
            <w:pPr>
              <w:spacing w:after="0"/>
              <w:jc w:val="center"/>
            </w:pPr>
            <w:r>
              <w:rPr>
                <w:rFonts w:ascii="Times New Roman" w:cs="Times New Roman" w:eastAsia="Times New Roman" w:hAnsi="Times New Roman"/>
                <w:b/>
                <w:bCs/>
                <w:sz w:val="13"/>
                <w:szCs w:val="13"/>
              </w:rPr>
              <w:t xml:space="preserve">Dev F1</w:t>
            </w:r>
          </w:p>
        </w:tc>
        <w:tc>
          <w:tcPr>
            <w:tcW w:type="pct" w:w="20%"/>
            <w:shd w:fill="D9D9D9" w:val="clear"/>
            <w:tcMar>
              <w:top w:type="dxa" w:w="40"/>
              <w:left w:type="dxa" w:w="60"/>
              <w:bottom w:type="dxa" w:w="40"/>
              <w:right w:type="dxa" w:w="60"/>
            </w:tcMar>
          </w:tcPr>
          <w:p>
            <w:pPr>
              <w:spacing w:after="0"/>
              <w:jc w:val="center"/>
            </w:pPr>
            <w:r>
              <w:rPr>
                <w:rFonts w:ascii="Times New Roman" w:cs="Times New Roman" w:eastAsia="Times New Roman" w:hAnsi="Times New Roman"/>
                <w:b/>
                <w:bCs/>
                <w:sz w:val="13"/>
                <w:szCs w:val="13"/>
              </w:rPr>
              <w:t xml:space="preserve">Held F1</w:t>
            </w:r>
          </w:p>
        </w:tc>
        <w:tc>
          <w:tcPr>
            <w:tcW w:type="pct" w:w="20%"/>
            <w:shd w:fill="D9D9D9" w:val="clear"/>
            <w:tcMar>
              <w:top w:type="dxa" w:w="40"/>
              <w:left w:type="dxa" w:w="60"/>
              <w:bottom w:type="dxa" w:w="40"/>
              <w:right w:type="dxa" w:w="60"/>
            </w:tcMar>
          </w:tcPr>
          <w:p>
            <w:pPr>
              <w:spacing w:after="0"/>
              <w:jc w:val="center"/>
            </w:pPr>
            <w:r>
              <w:rPr>
                <w:rFonts w:ascii="Times New Roman" w:cs="Times New Roman" w:eastAsia="Times New Roman" w:hAnsi="Times New Roman"/>
                <w:b/>
                <w:bCs/>
                <w:sz w:val="13"/>
                <w:szCs w:val="13"/>
              </w:rPr>
              <w:t xml:space="preserve">Significance</w:t>
            </w:r>
          </w:p>
        </w:tc>
      </w:tr>
      <w:tr>
        <w:tc>
          <w:tcPr>
            <w:tcW w:type="pct" w:w="20%"/>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sz w:val="13"/>
                <w:szCs w:val="13"/>
              </w:rPr>
              <w:t xml:space="preserve">1 – Baseline</w:t>
            </w:r>
          </w:p>
        </w:tc>
        <w:tc>
          <w:tcPr>
            <w:tcW w:type="pct" w:w="20%"/>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sz w:val="13"/>
                <w:szCs w:val="13"/>
              </w:rPr>
              <w:t xml:space="preserve">Unigram TF-IDF,</w:t>
            </w:r>
          </w:p>
          <w:p>
            <w:pPr>
              <w:spacing w:after="0"/>
              <w:jc w:val="center"/>
            </w:pPr>
            <w:r>
              <w:rPr>
                <w:rFonts w:ascii="Times New Roman" w:cs="Times New Roman" w:eastAsia="Times New Roman" w:hAnsi="Times New Roman"/>
                <w:b w:val="false"/>
                <w:bCs w:val="false"/>
                <w:sz w:val="13"/>
                <w:szCs w:val="13"/>
              </w:rPr>
              <w:t xml:space="preserve">C=2.0</w:t>
            </w:r>
          </w:p>
        </w:tc>
        <w:tc>
          <w:tcPr>
            <w:tcW w:type="pct" w:w="20%"/>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sz w:val="13"/>
                <w:szCs w:val="13"/>
              </w:rPr>
              <w:t xml:space="preserve">0.7514</w:t>
            </w:r>
          </w:p>
        </w:tc>
        <w:tc>
          <w:tcPr>
            <w:tcW w:type="pct" w:w="20%"/>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sz w:val="13"/>
                <w:szCs w:val="13"/>
              </w:rPr>
              <w:t xml:space="preserve">0.7576*</w:t>
            </w:r>
          </w:p>
        </w:tc>
        <w:tc>
          <w:tcPr>
            <w:tcW w:type="pct" w:w="20%"/>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sz w:val="13"/>
                <w:szCs w:val="13"/>
              </w:rPr>
              <w:t xml:space="preserve">ns (p=0.63)</w:t>
            </w:r>
          </w:p>
          <w:p>
            <w:pPr>
              <w:spacing w:after="0"/>
              <w:jc w:val="center"/>
            </w:pPr>
            <w:r>
              <w:rPr>
                <w:rFonts w:ascii="Times New Roman" w:cs="Times New Roman" w:eastAsia="Times New Roman" w:hAnsi="Times New Roman"/>
                <w:b w:val="false"/>
                <w:bCs w:val="false"/>
                <w:sz w:val="13"/>
                <w:szCs w:val="13"/>
              </w:rPr>
              <w:t xml:space="preserve">vs naive</w:t>
            </w:r>
          </w:p>
        </w:tc>
      </w:tr>
      <w:tr>
        <w:tc>
          <w:tcPr>
            <w:tcW w:type="pct" w:w="20%"/>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sz w:val="13"/>
                <w:szCs w:val="13"/>
              </w:rPr>
              <w:t xml:space="preserve">2 – Normaliz.</w:t>
            </w:r>
          </w:p>
        </w:tc>
        <w:tc>
          <w:tcPr>
            <w:tcW w:type="pct" w:w="20%"/>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sz w:val="13"/>
                <w:szCs w:val="13"/>
              </w:rPr>
              <w:t xml:space="preserve">Keep hashtag</w:t>
            </w:r>
          </w:p>
          <w:p>
            <w:pPr>
              <w:spacing w:after="0"/>
              <w:jc w:val="center"/>
            </w:pPr>
            <w:r>
              <w:rPr>
                <w:rFonts w:ascii="Times New Roman" w:cs="Times New Roman" w:eastAsia="Times New Roman" w:hAnsi="Times New Roman"/>
                <w:b w:val="false"/>
                <w:bCs w:val="false"/>
                <w:sz w:val="13"/>
                <w:szCs w:val="13"/>
              </w:rPr>
              <w:t xml:space="preserve">tokens</w:t>
            </w:r>
          </w:p>
        </w:tc>
        <w:tc>
          <w:tcPr>
            <w:tcW w:type="pct" w:w="20%"/>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sz w:val="13"/>
                <w:szCs w:val="13"/>
              </w:rPr>
              <w:t xml:space="preserve">0.7518</w:t>
            </w:r>
          </w:p>
        </w:tc>
        <w:tc>
          <w:tcPr>
            <w:tcW w:type="pct" w:w="20%"/>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sz w:val="13"/>
                <w:szCs w:val="13"/>
              </w:rPr>
              <w:t xml:space="preserve">0.7595</w:t>
            </w:r>
          </w:p>
        </w:tc>
        <w:tc>
          <w:tcPr>
            <w:tcW w:type="pct" w:w="20%"/>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sz w:val="13"/>
                <w:szCs w:val="13"/>
              </w:rPr>
              <w:t xml:space="preserve">ns (p=0.25)</w:t>
            </w:r>
          </w:p>
          <w:p>
            <w:pPr>
              <w:spacing w:after="0"/>
              <w:jc w:val="center"/>
            </w:pPr>
            <w:r>
              <w:rPr>
                <w:rFonts w:ascii="Times New Roman" w:cs="Times New Roman" w:eastAsia="Times New Roman" w:hAnsi="Times New Roman"/>
                <w:b w:val="false"/>
                <w:bCs w:val="false"/>
                <w:sz w:val="13"/>
                <w:szCs w:val="13"/>
              </w:rPr>
              <w:t xml:space="preserve">3/1523 flip</w:t>
            </w:r>
          </w:p>
        </w:tc>
      </w:tr>
      <w:tr>
        <w:tc>
          <w:tcPr>
            <w:tcW w:type="pct" w:w="20%"/>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sz w:val="13"/>
                <w:szCs w:val="13"/>
              </w:rPr>
              <w:t xml:space="preserve">3 – Shortcut</w:t>
            </w:r>
          </w:p>
        </w:tc>
        <w:tc>
          <w:tcPr>
            <w:tcW w:type="pct" w:w="20%"/>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sz w:val="13"/>
                <w:szCs w:val="13"/>
              </w:rPr>
              <w:t xml:space="preserve">N/A</w:t>
            </w:r>
          </w:p>
          <w:p>
            <w:pPr>
              <w:spacing w:after="0"/>
              <w:jc w:val="center"/>
            </w:pPr>
            <w:r>
              <w:rPr>
                <w:rFonts w:ascii="Times New Roman" w:cs="Times New Roman" w:eastAsia="Times New Roman" w:hAnsi="Times New Roman"/>
                <w:b w:val="false"/>
                <w:bCs w:val="false"/>
                <w:sz w:val="13"/>
                <w:szCs w:val="13"/>
              </w:rPr>
              <w:t xml:space="preserve">(diagnostic)</w:t>
            </w:r>
          </w:p>
        </w:tc>
        <w:tc>
          <w:tcPr>
            <w:tcW w:type="pct" w:w="20%"/>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sz w:val="13"/>
                <w:szCs w:val="13"/>
              </w:rPr>
              <w:t xml:space="preserve">kw=0.660</w:t>
            </w:r>
          </w:p>
        </w:tc>
        <w:tc>
          <w:tcPr>
            <w:tcW w:type="pct" w:w="20%"/>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sz w:val="13"/>
                <w:szCs w:val="13"/>
              </w:rPr>
              <w:t xml:space="preserve">kw=0.691</w:t>
            </w:r>
          </w:p>
          <w:p>
            <w:pPr>
              <w:spacing w:after="0"/>
              <w:jc w:val="center"/>
            </w:pPr>
            <w:r>
              <w:rPr>
                <w:rFonts w:ascii="Times New Roman" w:cs="Times New Roman" w:eastAsia="Times New Roman" w:hAnsi="Times New Roman"/>
                <w:b w:val="false"/>
                <w:bCs w:val="false"/>
                <w:sz w:val="13"/>
                <w:szCs w:val="13"/>
              </w:rPr>
              <w:t xml:space="preserve">(91% of text)</w:t>
            </w:r>
          </w:p>
        </w:tc>
        <w:tc>
          <w:tcPr>
            <w:tcW w:type="pct" w:w="20%"/>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sz w:val="13"/>
                <w:szCs w:val="13"/>
              </w:rPr>
              <w:t xml:space="preserve">ns (p=1.0)</w:t>
            </w:r>
          </w:p>
          <w:p>
            <w:pPr>
              <w:spacing w:after="0"/>
              <w:jc w:val="center"/>
            </w:pPr>
            <w:r>
              <w:rPr>
                <w:rFonts w:ascii="Times New Roman" w:cs="Times New Roman" w:eastAsia="Times New Roman" w:hAnsi="Times New Roman"/>
                <w:b w:val="false"/>
                <w:bCs w:val="false"/>
                <w:sz w:val="13"/>
                <w:szCs w:val="13"/>
              </w:rPr>
              <w:t xml:space="preserve">combined</w:t>
            </w:r>
          </w:p>
        </w:tc>
      </w:tr>
      <w:tr>
        <w:tc>
          <w:tcPr>
            <w:tcW w:type="pct" w:w="20%"/>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sz w:val="13"/>
                <w:szCs w:val="13"/>
              </w:rPr>
              <w:t xml:space="preserve">4 – Decision</w:t>
            </w:r>
          </w:p>
        </w:tc>
        <w:tc>
          <w:tcPr>
            <w:tcW w:type="pct" w:w="20%"/>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sz w:val="13"/>
                <w:szCs w:val="13"/>
              </w:rPr>
              <w:t xml:space="preserve">Threshold</w:t>
            </w:r>
          </w:p>
          <w:p>
            <w:pPr>
              <w:spacing w:after="0"/>
              <w:jc w:val="center"/>
            </w:pPr>
            <w:r>
              <w:rPr>
                <w:rFonts w:ascii="Times New Roman" w:cs="Times New Roman" w:eastAsia="Times New Roman" w:hAnsi="Times New Roman"/>
                <w:b w:val="false"/>
                <w:bCs w:val="false"/>
                <w:sz w:val="13"/>
                <w:szCs w:val="13"/>
              </w:rPr>
              <w:t xml:space="preserve">0.45</w:t>
            </w:r>
          </w:p>
        </w:tc>
        <w:tc>
          <w:tcPr>
            <w:tcW w:type="pct" w:w="20%"/>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sz w:val="13"/>
                <w:szCs w:val="13"/>
              </w:rPr>
              <w:t xml:space="preserve">0.7568</w:t>
            </w:r>
          </w:p>
        </w:tc>
        <w:tc>
          <w:tcPr>
            <w:tcW w:type="pct" w:w="20%"/>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sz w:val="13"/>
                <w:szCs w:val="13"/>
              </w:rPr>
              <w:t xml:space="preserve">0.7666</w:t>
            </w:r>
          </w:p>
        </w:tc>
        <w:tc>
          <w:tcPr>
            <w:tcW w:type="pct" w:w="20%"/>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sz w:val="13"/>
                <w:szCs w:val="13"/>
              </w:rPr>
              <w:t xml:space="preserve">ns (p=0.71);</w:t>
            </w:r>
          </w:p>
          <w:p>
            <w:pPr>
              <w:spacing w:after="0"/>
              <w:jc w:val="center"/>
            </w:pPr>
            <w:r>
              <w:rPr>
                <w:rFonts w:ascii="Times New Roman" w:cs="Times New Roman" w:eastAsia="Times New Roman" w:hAnsi="Times New Roman"/>
                <w:b w:val="false"/>
                <w:bCs w:val="false"/>
                <w:sz w:val="13"/>
                <w:szCs w:val="13"/>
              </w:rPr>
              <w:t xml:space="preserve">generalizes well</w:t>
            </w:r>
          </w:p>
        </w:tc>
      </w:tr>
      <w:tr>
        <w:tc>
          <w:tcPr>
            <w:tcW w:type="pct" w:w="20%"/>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sz w:val="13"/>
                <w:szCs w:val="13"/>
              </w:rPr>
              <w:t xml:space="preserve">5 – Data qual.</w:t>
            </w:r>
          </w:p>
        </w:tc>
        <w:tc>
          <w:tcPr>
            <w:tcW w:type="pct" w:w="20%"/>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sz w:val="13"/>
                <w:szCs w:val="13"/>
              </w:rPr>
              <w:t xml:space="preserve">Majority-vote</w:t>
            </w:r>
          </w:p>
          <w:p>
            <w:pPr>
              <w:spacing w:after="0"/>
              <w:jc w:val="center"/>
            </w:pPr>
            <w:r>
              <w:rPr>
                <w:rFonts w:ascii="Times New Roman" w:cs="Times New Roman" w:eastAsia="Times New Roman" w:hAnsi="Times New Roman"/>
                <w:b w:val="false"/>
                <w:bCs w:val="false"/>
                <w:sz w:val="13"/>
                <w:szCs w:val="13"/>
              </w:rPr>
              <w:t xml:space="preserve">fix, 12 rows</w:t>
            </w:r>
          </w:p>
        </w:tc>
        <w:tc>
          <w:tcPr>
            <w:tcW w:type="pct" w:w="20%"/>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sz w:val="13"/>
                <w:szCs w:val="13"/>
              </w:rPr>
              <w:t xml:space="preserve">0.7545</w:t>
            </w:r>
          </w:p>
          <w:p>
            <w:pPr>
              <w:spacing w:after="0"/>
              <w:jc w:val="center"/>
            </w:pPr>
            <w:r>
              <w:rPr>
                <w:rFonts w:ascii="Times New Roman" w:cs="Times New Roman" w:eastAsia="Times New Roman" w:hAnsi="Times New Roman"/>
                <w:b w:val="false"/>
                <w:bCs w:val="false"/>
                <w:sz w:val="13"/>
                <w:szCs w:val="13"/>
              </w:rPr>
              <w:t xml:space="preserve">(+0.0031)</w:t>
            </w:r>
          </w:p>
        </w:tc>
        <w:tc>
          <w:tcPr>
            <w:tcW w:type="pct" w:w="20%"/>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sz w:val="13"/>
                <w:szCs w:val="13"/>
              </w:rPr>
              <w:t xml:space="preserve">0.7516</w:t>
            </w:r>
          </w:p>
          <w:p>
            <w:pPr>
              <w:spacing w:after="0"/>
              <w:jc w:val="center"/>
            </w:pPr>
            <w:r>
              <w:rPr>
                <w:rFonts w:ascii="Times New Roman" w:cs="Times New Roman" w:eastAsia="Times New Roman" w:hAnsi="Times New Roman"/>
                <w:b w:val="false"/>
                <w:bCs w:val="false"/>
                <w:sz w:val="13"/>
                <w:szCs w:val="13"/>
              </w:rPr>
              <w:t xml:space="preserve">(−0.0060)</w:t>
            </w:r>
          </w:p>
        </w:tc>
        <w:tc>
          <w:tcPr>
            <w:tcW w:type="pct" w:w="20%"/>
            <w:tcMar>
              <w:top w:type="dxa" w:w="40"/>
              <w:left w:type="dxa" w:w="60"/>
              <w:bottom w:type="dxa" w:w="40"/>
              <w:right w:type="dxa" w:w="60"/>
            </w:tcMar>
          </w:tcPr>
          <w:p>
            <w:pPr>
              <w:spacing w:after="0"/>
              <w:jc w:val="center"/>
            </w:pPr>
            <w:r>
              <w:rPr>
                <w:rFonts w:ascii="Times New Roman" w:cs="Times New Roman" w:eastAsia="Times New Roman" w:hAnsi="Times New Roman"/>
                <w:b w:val="false"/>
                <w:bCs w:val="false"/>
                <w:sz w:val="13"/>
                <w:szCs w:val="13"/>
              </w:rPr>
              <w:t xml:space="preserve">SIG, harmful</w:t>
            </w:r>
          </w:p>
          <w:p>
            <w:pPr>
              <w:spacing w:after="0"/>
              <w:jc w:val="center"/>
            </w:pPr>
            <w:r>
              <w:rPr>
                <w:rFonts w:ascii="Times New Roman" w:cs="Times New Roman" w:eastAsia="Times New Roman" w:hAnsi="Times New Roman"/>
                <w:b w:val="false"/>
                <w:bCs w:val="false"/>
                <w:sz w:val="13"/>
                <w:szCs w:val="13"/>
              </w:rPr>
              <w:t xml:space="preserve">(p=0.012)</w:t>
            </w:r>
          </w:p>
        </w:tc>
      </w:tr>
    </w:tbl>
    <w:p>
      <w:pPr>
        <w:spacing w:after="160" w:before="100"/>
      </w:pPr>
      <w:r>
        <w:rPr>
          <w:rFonts w:ascii="Times New Roman" w:cs="Times New Roman" w:eastAsia="Times New Roman" w:hAnsi="Times New Roman"/>
          <w:i/>
          <w:iCs/>
          <w:sz w:val="14"/>
          <w:szCs w:val="14"/>
        </w:rPr>
        <w:t xml:space="preserve">*matches reference (0.7574) within ±0.001 tolerance.</w:t>
      </w:r>
    </w:p>
    <w:p>
      <w:pPr>
        <w:spacing w:after="120" w:line="240"/>
        <w:jc w:val="both"/>
      </w:pPr>
      <w:r>
        <w:rPr>
          <w:rFonts w:ascii="Times New Roman" w:cs="Times New Roman" w:eastAsia="Times New Roman" w:hAnsi="Times New Roman"/>
          <w:sz w:val="20"/>
          <w:szCs w:val="20"/>
        </w:rPr>
        <w:t xml:space="preserve">The overall pattern is notable: of five investigated levers, only one (Ticket 5's label fix) produced a statistically significant held-out effect, and that effect was negative relative to its hypothesis. The remaining four levers each produced small, plausible-looking F1 changes that did not clear the bar of paired statistical significance at this sample size.</w:t>
      </w:r>
    </w:p>
    <w:p>
      <w:pPr>
        <w:spacing w:after="120" w:before="200"/>
        <w:jc w:val="center"/>
      </w:pPr>
      <w:r>
        <w:rPr>
          <w:rFonts w:ascii="Times New Roman" w:cs="Times New Roman" w:eastAsia="Times New Roman" w:hAnsi="Times New Roman"/>
          <w:b/>
          <w:bCs/>
          <w:sz w:val="20"/>
          <w:szCs w:val="20"/>
        </w:rPr>
        <w:t xml:space="preserve">IV. Case Analysis</w:t>
      </w:r>
    </w:p>
    <w:p>
      <w:pPr>
        <w:spacing w:after="80" w:before="160"/>
      </w:pPr>
      <w:r>
        <w:rPr>
          <w:rFonts w:ascii="Times New Roman" w:cs="Times New Roman" w:eastAsia="Times New Roman" w:hAnsi="Times New Roman"/>
          <w:b/>
          <w:bCs/>
          <w:i/>
          <w:iCs/>
          <w:sz w:val="20"/>
          <w:szCs w:val="20"/>
        </w:rPr>
        <w:t xml:space="preserve">A. Representative Case 1: A Normalization Fix With the Wrong Mechanism (Ticket 2)</w:t>
      </w:r>
    </w:p>
    <w:p>
      <w:pPr>
        <w:spacing w:after="120" w:line="240"/>
        <w:jc w:val="both"/>
      </w:pPr>
      <w:r>
        <w:rPr>
          <w:rFonts w:ascii="Times New Roman" w:cs="Times New Roman" w:eastAsia="Times New Roman" w:hAnsi="Times New Roman"/>
          <w:sz w:val="20"/>
          <w:szCs w:val="20"/>
        </w:rPr>
        <w:t xml:space="preserve">The dev-selected normalization change — keeping literal #hashtag tokens instead of unwrapping them to bare words — improved held-out F1 from 0.7576 to 0.7595 by flipping exactly 3 of 1523 predictions. Inspecting those 3 examples directly shows that 2 of the 3 flipped tweets contain no hashtag at all, and the third tokenizes identically under both configurations once passed through scikit-learn's default tokenizer (which already strips # regardless of preprocessing). Diffing the two configurations' fitted training vocabularies (both size 11,156, but composition differs by 6 words) traces the actual cause to a whitespace bug: unwrapping #hashtag deletes the # character without inserting a space, so a hashtag glued directly to a preceding word (e.g., “Rare#Deals_UK”) collapses into one malformed token instead of remaining two valid words. The measured improvement is real but is not evidence for the stated hypothesis — it is evidence of a preprocessing implementation defect that a different fix (inserting a space on unwrap) would likely resolve equally well.</w:t>
      </w:r>
    </w:p>
    <w:p>
      <w:pPr>
        <w:spacing w:after="80" w:before="160"/>
      </w:pPr>
      <w:r>
        <w:rPr>
          <w:rFonts w:ascii="Times New Roman" w:cs="Times New Roman" w:eastAsia="Times New Roman" w:hAnsi="Times New Roman"/>
          <w:b/>
          <w:bCs/>
          <w:i/>
          <w:iCs/>
          <w:sz w:val="20"/>
          <w:szCs w:val="20"/>
        </w:rPr>
        <w:t xml:space="preserve">B. Representative Case 2: A “Safe” Data Fix That Significantly Backfires (Ticket 5)</w:t>
      </w:r>
    </w:p>
    <w:p>
      <w:pPr>
        <w:spacing w:after="120" w:line="240"/>
        <w:jc w:val="both"/>
      </w:pPr>
      <w:r>
        <w:rPr>
          <w:rFonts w:ascii="Times New Roman" w:cs="Times New Roman" w:eastAsia="Times New Roman" w:hAnsi="Times New Roman"/>
          <w:sz w:val="20"/>
          <w:szCs w:val="20"/>
        </w:rPr>
        <w:t xml:space="preserve">Eleven exact-duplicate training texts (12 rows) carry conflicting labels. Relabeling each to its group's majority vote is a minimal, well-targeted correction with no apparent downside. Applying this fix and retraining the unchanged reference pipeline improves development F1 (0.7514 → 0.7545) but decreases held-out F1 (0.7576 → 0.7516), a drop confirmed statistically significant by McNemar's exact test (10 previously-correct held-out predictions become incorrect against only 1 improvement; p = 0.012). With only 12 of 4567 training rows affected, the retrained decision boundary shifts in a direction that happens to help the specific development examples without helping — and here, actively hurting — a disjoint held-out set. This case demonstrates that even a correction with strong face validity requires held-out verification before being trusted.</w:t>
      </w:r>
    </w:p>
    <w:p>
      <w:pPr>
        <w:spacing w:after="120" w:before="200"/>
        <w:jc w:val="center"/>
      </w:pPr>
      <w:r>
        <w:rPr>
          <w:rFonts w:ascii="Times New Roman" w:cs="Times New Roman" w:eastAsia="Times New Roman" w:hAnsi="Times New Roman"/>
          <w:b/>
          <w:bCs/>
          <w:sz w:val="20"/>
          <w:szCs w:val="20"/>
        </w:rPr>
        <w:t xml:space="preserve">V. Difficulties and Solutions</w:t>
      </w:r>
    </w:p>
    <w:p>
      <w:pPr>
        <w:spacing w:after="120" w:line="240"/>
      </w:pPr>
      <w:r>
        <w:rPr>
          <w:rFonts w:ascii="Times New Roman" w:cs="Times New Roman" w:eastAsia="Times New Roman" w:hAnsi="Times New Roman"/>
          <w:b/>
          <w:bCs/>
          <w:sz w:val="20"/>
          <w:szCs w:val="20"/>
        </w:rPr>
        <w:t xml:space="preserve">Difficulty 1 — Naive baseline did not reproduce the reference. </w:t>
      </w:r>
      <w:r>
        <w:rPr>
          <w:rFonts w:ascii="Times New Roman" w:cs="Times New Roman" w:eastAsia="Times New Roman" w:hAnsi="Times New Roman"/>
          <w:sz w:val="20"/>
          <w:szCs w:val="20"/>
        </w:rPr>
        <w:t xml:space="preserve">A first-pass baseline using common default settings missed the reference held-out F1 by −0.0134, outside tolerance. We addressed this with a systematic manual probe over vectorizer and regularization settings, isolating each change before combining them.</w:t>
      </w:r>
    </w:p>
    <w:p>
      <w:pPr>
        <w:spacing w:after="120" w:line="240"/>
      </w:pPr>
      <w:r>
        <w:rPr>
          <w:rFonts w:ascii="Times New Roman" w:cs="Times New Roman" w:eastAsia="Times New Roman" w:hAnsi="Times New Roman"/>
          <w:b/>
          <w:bCs/>
          <w:sz w:val="20"/>
          <w:szCs w:val="20"/>
        </w:rPr>
        <w:t xml:space="preserve">Difficulty 2 — Small held-out sample size made raw deltas unreliable. </w:t>
      </w:r>
      <w:r>
        <w:rPr>
          <w:rFonts w:ascii="Times New Roman" w:cs="Times New Roman" w:eastAsia="Times New Roman" w:hAnsi="Times New Roman"/>
          <w:sz w:val="20"/>
          <w:szCs w:val="20"/>
        </w:rPr>
        <w:t xml:space="preserve">With only 1523 held-out examples, F1 changes of 0.001–0.02 are frequently within sampling noise. We addressed this by adding McNemar's exact paired test and bootstrap confidence intervals to every controlled comparison, rather than reporting F1 deltas alone.</w:t>
      </w:r>
    </w:p>
    <w:p>
      <w:pPr>
        <w:spacing w:after="160" w:line="240"/>
      </w:pPr>
      <w:r>
        <w:rPr>
          <w:rFonts w:ascii="Times New Roman" w:cs="Times New Roman" w:eastAsia="Times New Roman" w:hAnsi="Times New Roman"/>
          <w:b/>
          <w:bCs/>
          <w:sz w:val="20"/>
          <w:szCs w:val="20"/>
        </w:rPr>
        <w:t xml:space="preserve">Difficulty 3 — A measured improvement's cause did not match its hypothesis. </w:t>
      </w:r>
      <w:r>
        <w:rPr>
          <w:rFonts w:ascii="Times New Roman" w:cs="Times New Roman" w:eastAsia="Times New Roman" w:hAnsi="Times New Roman"/>
          <w:sz w:val="20"/>
          <w:szCs w:val="20"/>
        </w:rPr>
        <w:t xml:space="preserve">The Ticket 2 result initially appeared to confirm that literal hashtag tokens carry useful signal. We addressed this by tracing flipped predictions back to raw text, checking actual tokenizer output, and diffing fitted vocabularies directly, which revealed the true mechanism rather than the hypothesized one.</w:t>
      </w:r>
    </w:p>
    <w:p>
      <w:pPr>
        <w:spacing w:after="120" w:before="200"/>
        <w:jc w:val="center"/>
      </w:pPr>
      <w:r>
        <w:rPr>
          <w:rFonts w:ascii="Times New Roman" w:cs="Times New Roman" w:eastAsia="Times New Roman" w:hAnsi="Times New Roman"/>
          <w:b/>
          <w:bCs/>
          <w:sz w:val="20"/>
          <w:szCs w:val="20"/>
        </w:rPr>
        <w:t xml:space="preserve">VI. AI Usage Declaration</w:t>
      </w:r>
    </w:p>
    <w:p>
      <w:pPr>
        <w:spacing w:after="120" w:line="240"/>
        <w:jc w:val="both"/>
      </w:pPr>
      <w:r>
        <w:rPr>
          <w:rFonts w:ascii="Times New Roman" w:cs="Times New Roman" w:eastAsia="Times New Roman" w:hAnsi="Times New Roman"/>
          <w:sz w:val="20"/>
          <w:szCs w:val="20"/>
        </w:rPr>
        <w:t xml:space="preserve">AI assistance (Claude, via Claude.ai chat with code execution) was used throughout this project to help build the pipeline scaffolding (data loading, preprocessing, model training, and artifact export matching required schemas) and to propose and implement the statistical validation methodology described above. All quantitative claims in this report were verified by re-running the corresponding script in experiments/ and confirming the reported numbers reproduce exactly; no number in this report was accepted without an independent, rerunnable script producing it. Mechanism-level claims (e.g., the Ticket 2 whitespace bug) were verified by direct inspection of intermediate outputs rather than inferred from the headline metric alone. [Team members: add individual AI-assistance entries per logs/chat.md here, including any tool use not covered above.]</w:t>
      </w:r>
    </w:p>
    <w:p>
      <w:pPr>
        <w:spacing w:after="120" w:before="200"/>
        <w:jc w:val="center"/>
      </w:pPr>
      <w:r>
        <w:rPr>
          <w:rFonts w:ascii="Times New Roman" w:cs="Times New Roman" w:eastAsia="Times New Roman" w:hAnsi="Times New Roman"/>
          <w:b/>
          <w:bCs/>
          <w:sz w:val="20"/>
          <w:szCs w:val="20"/>
        </w:rPr>
        <w:t xml:space="preserve">VII. Discussion and Limitations</w:t>
      </w:r>
    </w:p>
    <w:p>
      <w:pPr>
        <w:spacing w:after="120" w:line="240"/>
        <w:jc w:val="both"/>
      </w:pPr>
      <w:r>
        <w:rPr>
          <w:rFonts w:ascii="Times New Roman" w:cs="Times New Roman" w:eastAsia="Times New Roman" w:hAnsi="Times New Roman"/>
          <w:sz w:val="20"/>
          <w:szCs w:val="20"/>
        </w:rPr>
        <w:t xml:space="preserve">Several limitations qualify these findings. First, all comparisons use a single fixed split and seed; we cannot distinguish “reproduces the reference” from “reproduces the reference on this particular split” without alternative splits. Second, our held-out sample (n=1523) limits statistical power: McNemar's test with roughly 30–40 discordant pairs cannot reliably detect effects smaller than several percentage points, so several “not significant” results should be read as “not detectably different at this sample size,” not as proof of equivalence. Third, we did not correct for multiple comparisons across the several McNemar tests performed; this modestly raises the chance that at least one nominally significant result (Ticket 5) is a false positive, though the consistency of its direction and effect size argue against pure chance. Fourth, the Ticket 3 legitimacy judgment for shallow keyword signal was based on manual inspection of a small sample (5 of 21 near-pure keywords) rather than a systematic classification. Fifth, the Ticket 4 second-classifier comparison (linear SVM via SGD) used default optimizer settings without independent tuning, so its underperformance reflects our specific configuration rather than a general claim about linear SVMs for this task. Finally, this pipeline is CPU-only and restricted to a bag-of-words TF-IDF representation; we make no claims about how these findings would transfer to contextual embedding-based models.</w:t>
      </w:r>
    </w:p>
    <w:p>
      <w:pPr>
        <w:spacing w:after="120" w:before="200"/>
        <w:jc w:val="center"/>
      </w:pPr>
      <w:r>
        <w:rPr>
          <w:rFonts w:ascii="Times New Roman" w:cs="Times New Roman" w:eastAsia="Times New Roman" w:hAnsi="Times New Roman"/>
          <w:b/>
          <w:bCs/>
          <w:sz w:val="20"/>
          <w:szCs w:val="20"/>
        </w:rPr>
        <w:t xml:space="preserve">VIII. Conclusion</w:t>
      </w:r>
    </w:p>
    <w:p>
      <w:pPr>
        <w:spacing w:after="120" w:line="240"/>
        <w:jc w:val="both"/>
      </w:pPr>
      <w:r>
        <w:rPr>
          <w:rFonts w:ascii="Times New Roman" w:cs="Times New Roman" w:eastAsia="Times New Roman" w:hAnsi="Times New Roman"/>
          <w:sz w:val="20"/>
          <w:szCs w:val="20"/>
        </w:rPr>
        <w:t xml:space="preserve">Across five investigations into a disaster-tweet classification pipeline, we find that headline F1 changes frequently do not survive paired statistical testing at this dataset's held-out sample size, and that even when an effect is measurable, its underlying mechanism can differ from the hypothesis that motivated the experiment. The one effect we found to be both statistically significant and directionally clear — a well-intentioned training-label correction — was harmful rather than helpful on held-out data, despite improving development performance and despite being a minimal, defensible-looking fix. We conclude that evaluating a text classification pipeline change requires more than a single frozen-split F1 comparison: it requires paired significance testing, mechanism-level verification of why predictions changed, and skepticism toward development-split improvements that have not been confirmed on held-out data.</w:t>
      </w:r>
    </w:p>
    <w:p>
      <w:pPr>
        <w:spacing w:after="120" w:before="200"/>
        <w:jc w:val="center"/>
      </w:pPr>
      <w:r>
        <w:rPr>
          <w:rFonts w:ascii="Times New Roman" w:cs="Times New Roman" w:eastAsia="Times New Roman" w:hAnsi="Times New Roman"/>
          <w:b/>
          <w:bCs/>
          <w:sz w:val="20"/>
          <w:szCs w:val="20"/>
        </w:rPr>
        <w:t xml:space="preserve">References</w:t>
      </w:r>
    </w:p>
    <w:p>
      <w:pPr>
        <w:spacing w:after="60" w:line="220"/>
        <w:ind w:left="260" w:hanging="260"/>
      </w:pPr>
      <w:r>
        <w:rPr>
          <w:rFonts w:ascii="Times New Roman" w:cs="Times New Roman" w:eastAsia="Times New Roman" w:hAnsi="Times New Roman"/>
          <w:sz w:val="18"/>
          <w:szCs w:val="18"/>
        </w:rPr>
        <w:t xml:space="preserve">[1] Kaggle / CrowdFlower, “Real or Not? NLP with Disaster Tweets,” public mirror: ucbrise/kaggle-nlp-disasters, GitHub.</w:t>
      </w:r>
    </w:p>
    <w:p>
      <w:pPr>
        <w:spacing w:after="60" w:line="220"/>
        <w:ind w:left="260" w:hanging="260"/>
      </w:pPr>
      <w:r>
        <w:rPr>
          <w:rFonts w:ascii="Times New Roman" w:cs="Times New Roman" w:eastAsia="Times New Roman" w:hAnsi="Times New Roman"/>
          <w:sz w:val="18"/>
          <w:szCs w:val="18"/>
        </w:rPr>
        <w:t xml:space="preserve">[2] F. Pedregosa et al., “Scikit-learn: Machine Learning in Python,” Journal of Machine Learning Research, vol. 12, pp. 2825–2830, 2011.</w:t>
      </w:r>
    </w:p>
    <w:p>
      <w:pPr>
        <w:spacing w:after="60" w:line="220"/>
        <w:ind w:left="260" w:hanging="260"/>
      </w:pPr>
      <w:r>
        <w:rPr>
          <w:rFonts w:ascii="Times New Roman" w:cs="Times New Roman" w:eastAsia="Times New Roman" w:hAnsi="Times New Roman"/>
          <w:sz w:val="18"/>
          <w:szCs w:val="18"/>
        </w:rPr>
        <w:t xml:space="preserve">[3] Q. McNemar, “Note on the sampling error of the difference between correlated proportions or percentages,” Psychometrika, vol. 12, no. 2, pp. 153–157, 1947.</w:t>
      </w:r>
    </w:p>
    <w:p>
      <w:pPr>
        <w:spacing w:after="120" w:before="200"/>
        <w:jc w:val="center"/>
      </w:pPr>
      <w:r>
        <w:rPr>
          <w:rFonts w:ascii="Times New Roman" w:cs="Times New Roman" w:eastAsia="Times New Roman" w:hAnsi="Times New Roman"/>
          <w:b/>
          <w:bCs/>
          <w:sz w:val="20"/>
          <w:szCs w:val="20"/>
        </w:rPr>
        <w:t xml:space="preserve">Appendix</w:t>
      </w:r>
    </w:p>
    <w:p>
      <w:pPr>
        <w:spacing w:after="120" w:line="240"/>
        <w:jc w:val="both"/>
      </w:pPr>
      <w:r>
        <w:rPr>
          <w:rFonts w:ascii="Times New Roman" w:cs="Times New Roman" w:eastAsia="Times New Roman" w:hAnsi="Times New Roman"/>
          <w:sz w:val="20"/>
          <w:szCs w:val="20"/>
        </w:rPr>
        <w:t xml:space="preserve">Full experiment code, per-ticket writeups, and machine-checkable result artifacts (results/summary.csv, results/threshold_sweep.csv, results/data_quality_audit.csv, predictions/heldout_predictions.csv) are included in the accompanying repository. Every number reported in this paper is reproducible by running the commands listed in the repository's README.md.</w:t>
      </w:r>
    </w:p>
    <w:sectPr>
      <w:pgSz w:w="12240" w:h="15840" w:orient="portrait"/>
      <w:pgMar w:top="260" w:right="900" w:bottom="1440" w:left="900" w:header="708" w:footer="708" w:gutter="0"/>
      <w:pgNumType/>
      <w:cols w:space="288"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2026-07-20T09:22:30.148Z</dcterms:created>
  <dcterms:modified xsi:type="dcterms:W3CDTF">2026-07-20T09:22:30.148Z</dcterms:modified>
</cp:coreProperties>
</file>

<file path=docProps/custom.xml><?xml version="1.0" encoding="utf-8"?>
<Properties xmlns="http://schemas.openxmlformats.org/officeDocument/2006/custom-properties" xmlns:vt="http://schemas.openxmlformats.org/officeDocument/2006/docPropsVTypes"/>
</file>