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1F3864"/>
          <w:sz w:val="32"/>
          <w:szCs w:val="32"/>
        </w:rPr>
        <w:t xml:space="preserve">FINSEARCH '26</w:t>
      </w:r>
    </w:p>
    <w:p>
      <w:pPr>
        <w:spacing w:after="100" w:before="300"/>
        <w:jc w:val="center"/>
      </w:pPr>
      <w:r>
        <w:rPr>
          <w:b/>
          <w:bCs/>
          <w:color w:val="1F3864"/>
          <w:sz w:val="56"/>
          <w:szCs w:val="56"/>
        </w:rPr>
        <w:t xml:space="preserve">Understanding Credit Score Algorithms</w:t>
      </w:r>
    </w:p>
    <w:p>
      <w:pPr>
        <w:spacing w:after="400"/>
        <w:jc w:val="center"/>
      </w:pPr>
      <w:r>
        <w:rPr>
          <w:i/>
          <w:iCs/>
          <w:color w:val="444444"/>
          <w:sz w:val="26"/>
          <w:szCs w:val="26"/>
        </w:rPr>
        <w:t xml:space="preserve">Beyond Accuracy: Discrimination, Calibration, Cost-Sensitive Decisions, Explainability, and Fairness in Interpretable and Machine-Learning Credit Models</w:t>
      </w:r>
    </w:p>
    <w:p>
      <w:pPr>
        <w:spacing w:after="60" w:before="800"/>
        <w:jc w:val="center"/>
      </w:pPr>
      <w:r>
        <w:rPr>
          <w:b/>
          <w:bCs/>
          <w:sz w:val="24"/>
          <w:szCs w:val="24"/>
        </w:rPr>
        <w:t xml:space="preserve">End-Term Research Report</w:t>
      </w:r>
    </w:p>
    <w:p>
      <w:pPr>
        <w:spacing w:after="60"/>
        <w:jc w:val="center"/>
      </w:pPr>
      <w:r>
        <w:rPr>
          <w:sz w:val="24"/>
          <w:szCs w:val="24"/>
        </w:rPr>
        <w:t xml:space="preserve">Finance Club, IIT Bombay</w:t>
      </w:r>
    </w:p>
    <w:p>
      <w:pPr>
        <w:spacing w:after="60"/>
        <w:jc w:val="center"/>
      </w:pPr>
      <w:r>
        <w:rPr>
          <w:sz w:val="24"/>
          <w:szCs w:val="24"/>
        </w:rPr>
        <w:t xml:space="preserve">Prepared by: Shrot Vijayvergiya, Nihar Samariya, Shaurya Sharma</w:t>
      </w:r>
    </w:p>
    <w:p>
      <w:pPr>
        <w:spacing w:before="900"/>
        <w:jc w:val="center"/>
      </w:pPr>
      <w:r>
        <w:rPr>
          <w:i/>
          <w:iCs/>
          <w:color w:val="777777"/>
          <w:sz w:val="20"/>
          <w:szCs w:val="20"/>
        </w:rPr>
        <w:t xml:space="preserve">Educational research only. The models discussed here are not intended for real lending decisions.</w:t>
      </w:r>
    </w:p>
    <w:p>
      <w:r>
        <w:br w:type="page"/>
      </w:r>
    </w:p>
    <w:p>
      <w:pPr>
        <w:pStyle w:val="Heading1"/>
        <w:spacing w:after="160" w:before="360"/>
      </w:pPr>
      <w:r>
        <w:rPr>
          <w:b/>
          <w:bCs/>
          <w:color w:val="1F3864"/>
          <w:sz w:val="30"/>
          <w:szCs w:val="30"/>
        </w:rPr>
        <w:t xml:space="preserve">Executive Summary</w:t>
      </w:r>
    </w:p>
    <w:p>
      <w:pPr>
        <w:spacing w:after="160" w:line="276"/>
        <w:jc w:val="both"/>
      </w:pPr>
      <w:r>
        <w:rPr>
          <w:sz w:val="22"/>
          <w:szCs w:val="22"/>
        </w:rPr>
        <w:t xml:space="preserve">Credit scoring converts fragmented information about a borrower — repayment history, income, obligations, and behaviour — into a single estimate of default risk that a lender can act on consistently across a large portfolio. Modern machine-learning algorithms can detect nonlinear relationships and interactions that a linear model may miss, but a lending decision is not the same problem as a prediction competition. A production credit model must also produce reliable probabilities, respect the asymmetry between approving a defaulter and rejecting a good borrower, remain explainable to risk committees, supervisors, and rejected applicants, stay stable as the credit cycle turns, and withstand scrutiny of its outcomes across demographic and behavioural subgroups.</w:t>
      </w:r>
    </w:p>
    <w:p>
      <w:pPr>
        <w:spacing w:after="160" w:line="276"/>
        <w:jc w:val="both"/>
      </w:pPr>
      <w:r>
        <w:rPr>
          <w:sz w:val="22"/>
          <w:szCs w:val="22"/>
        </w:rPr>
        <w:t xml:space="preserve">This expanded report asks a narrower and more falsifiable version of that broad question: once discrimination, calibration, cost-sensitive decision-making, and fairness are evaluated together, rather than ranking models by ROC-AUC alone, does the incremental gain from nonlinear ensembles over a well-specified, calibrated Logistic Regression baseline survive contact with governance and stability requirements? A reproducible Python notebook implements this comparison for Logistic Regression, Decision Tree, Random Forest, and Gradient Boosting on the UCI Statlog German Credit benchmark, and the report defines in advance exactly which statistics decide the answer and how each is computed.</w:t>
      </w:r>
    </w:p>
    <w:p>
      <w:pPr>
        <w:spacing w:after="160" w:line="276"/>
        <w:jc w:val="both"/>
      </w:pPr>
      <w:r>
        <w:rPr>
          <w:sz w:val="22"/>
          <w:szCs w:val="22"/>
        </w:rPr>
        <w:t xml:space="preserve">The methodology has been substantially deepened relative to the original submission. It now specifies the complete preprocessing pipeline, a nested cross-validation and hyperparameter-search protocol, closed-form definitions of every discrimination, calibration and cost metric used, a formal fairness analysis with confidence intervals for small subgroups, and an explainability layer combining permutation importance, partial dependence, and Shapley-value attributions. A literature review situates the project within the long-running interpretable-versus-ensemble debate in credit scoring and within model-risk-management practice.</w:t>
      </w:r>
    </w:p>
    <w:p>
      <w:pPr>
        <w:spacing w:after="160" w:line="276"/>
        <w:jc w:val="both"/>
      </w:pPr>
      <w:r>
        <w:rPr>
          <w:sz w:val="22"/>
          <w:szCs w:val="22"/>
        </w:rPr>
        <w:t xml:space="preserve">Consistent with the integrity principle of the original report, no numerical result is asserted before the attached notebook is executed end to end. What has changed is the rigour, transparency, and reproducibility of the framework that generates those numbers, and the depth of the surrounding conceptual, statistical, and regulatory discussion.</w:t>
      </w:r>
    </w:p>
    <w:p>
      <w:pPr>
        <w:pStyle w:val="Heading2"/>
        <w:spacing w:after="120" w:before="280"/>
      </w:pPr>
      <w:r>
        <w:rPr>
          <w:b/>
          <w:bCs/>
          <w:color w:val="2E5395"/>
          <w:sz w:val="25"/>
          <w:szCs w:val="25"/>
        </w:rPr>
        <w:t xml:space="preserve">Expanded Contribution</w:t>
      </w:r>
    </w:p>
    <w:p>
      <w:pPr>
        <w:pStyle w:val="ListParagraph"/>
        <w:numPr>
          <w:ilvl w:val="0"/>
          <w:numId w:val="2"/>
        </w:numPr>
        <w:spacing w:after="80"/>
      </w:pPr>
      <w:r>
        <w:rPr>
          <w:sz w:val="22"/>
          <w:szCs w:val="22"/>
        </w:rPr>
        <w:t xml:space="preserve">A single, mathematically explicit evaluation framework linking statistical performance to lending economics through a defined expected-cost function.</w:t>
      </w:r>
    </w:p>
    <w:p>
      <w:pPr>
        <w:pStyle w:val="ListParagraph"/>
        <w:numPr>
          <w:ilvl w:val="0"/>
          <w:numId w:val="2"/>
        </w:numPr>
        <w:spacing w:after="80"/>
      </w:pPr>
      <w:r>
        <w:rPr>
          <w:sz w:val="22"/>
          <w:szCs w:val="22"/>
        </w:rPr>
        <w:t xml:space="preserve">A structured literature review connecting the project to the interpretable-vs-ensemble debate and to model-risk-management practice.</w:t>
      </w:r>
    </w:p>
    <w:p>
      <w:pPr>
        <w:pStyle w:val="ListParagraph"/>
        <w:numPr>
          <w:ilvl w:val="0"/>
          <w:numId w:val="2"/>
        </w:numPr>
        <w:spacing w:after="80"/>
      </w:pPr>
      <w:r>
        <w:rPr>
          <w:sz w:val="22"/>
          <w:szCs w:val="22"/>
        </w:rPr>
        <w:t xml:space="preserve">A fully specified nested cross-validation and hyperparameter-tuning protocol, closing the main reproducibility gap of the original draft.</w:t>
      </w:r>
    </w:p>
    <w:p>
      <w:pPr>
        <w:pStyle w:val="ListParagraph"/>
        <w:numPr>
          <w:ilvl w:val="0"/>
          <w:numId w:val="2"/>
        </w:numPr>
        <w:spacing w:after="80"/>
      </w:pPr>
      <w:r>
        <w:rPr>
          <w:sz w:val="22"/>
          <w:szCs w:val="22"/>
        </w:rPr>
        <w:t xml:space="preserve">Closed-form definitions of every metric used, so results can be audited independently of the code that produces them.</w:t>
      </w:r>
    </w:p>
    <w:p>
      <w:pPr>
        <w:pStyle w:val="ListParagraph"/>
        <w:numPr>
          <w:ilvl w:val="0"/>
          <w:numId w:val="2"/>
        </w:numPr>
        <w:spacing w:after="80"/>
      </w:pPr>
      <w:r>
        <w:rPr>
          <w:sz w:val="22"/>
          <w:szCs w:val="22"/>
        </w:rPr>
        <w:t xml:space="preserve">A formal fairness section using demographic-parity, equal-opportunity, and equalized-odds definitions, with Wilson-interval uncertainty bands for small subgroups.</w:t>
      </w:r>
    </w:p>
    <w:p>
      <w:pPr>
        <w:pStyle w:val="ListParagraph"/>
        <w:numPr>
          <w:ilvl w:val="0"/>
          <w:numId w:val="2"/>
        </w:numPr>
        <w:spacing w:after="80"/>
      </w:pPr>
      <w:r>
        <w:rPr>
          <w:sz w:val="22"/>
          <w:szCs w:val="22"/>
        </w:rPr>
        <w:t xml:space="preserve">An explainability layer combining permutation importance, partial dependence, and Shapley-value (SHAP) attributions, cross-checked against Logistic Regression coefficients.</w:t>
      </w:r>
    </w:p>
    <w:p>
      <w:pPr>
        <w:pStyle w:val="ListParagraph"/>
        <w:numPr>
          <w:ilvl w:val="0"/>
          <w:numId w:val="2"/>
        </w:numPr>
        <w:spacing w:after="80"/>
      </w:pPr>
      <w:r>
        <w:rPr>
          <w:sz w:val="22"/>
          <w:szCs w:val="22"/>
        </w:rPr>
        <w:t xml:space="preserve">Updated regulatory grounding, including the RBI's consolidated 2025 Master Direction on credit information reporting and its implications for model governance in India.</w:t>
      </w:r>
    </w:p>
    <w:p>
      <w:pPr>
        <w:pStyle w:val="Heading1"/>
        <w:spacing w:after="160" w:before="360"/>
      </w:pPr>
      <w:r>
        <w:rPr>
          <w:b/>
          <w:bCs/>
          <w:color w:val="1F3864"/>
          <w:sz w:val="30"/>
          <w:szCs w:val="30"/>
        </w:rPr>
        <w:t xml:space="preserve">Research Question</w:t>
      </w:r>
    </w:p>
    <w:p>
      <w:pPr>
        <w:spacing w:after="160" w:line="276"/>
        <w:jc w:val="both"/>
      </w:pPr>
      <w:r>
        <w:rPr>
          <w:sz w:val="22"/>
          <w:szCs w:val="22"/>
        </w:rPr>
        <w:t xml:space="preserve">Do interpretable credit-scoring models remain competitive with machine-learning models when discrimination, calibration, fairness, and asymmetric lending costs are evaluated jointly, and is any measured gain from a nonlinear ensemble large and stable enough to justify the additional governance burden it imposes?</w:t>
      </w:r>
    </w:p>
    <w:p>
      <w:pPr>
        <w:pStyle w:val="Heading2"/>
        <w:spacing w:after="120" w:before="280"/>
      </w:pPr>
      <w:r>
        <w:rPr>
          <w:b/>
          <w:bCs/>
          <w:color w:val="2E5395"/>
          <w:sz w:val="25"/>
          <w:szCs w:val="25"/>
        </w:rPr>
        <w:t xml:space="preserve">Sub-questions Answered by the Notebook</w:t>
      </w:r>
    </w:p>
    <w:p>
      <w:pPr>
        <w:pStyle w:val="ListParagraph"/>
        <w:numPr>
          <w:ilvl w:val="0"/>
          <w:numId w:val="3"/>
        </w:numPr>
        <w:spacing w:after="80"/>
      </w:pPr>
      <w:r>
        <w:rPr>
          <w:sz w:val="22"/>
          <w:szCs w:val="22"/>
        </w:rPr>
        <w:t xml:space="preserve">Ranking — which model achieves the highest final-test ROC-AUC and KS statistic, and how large is the gap between the best linear and best nonlinear model?</w:t>
      </w:r>
    </w:p>
    <w:p>
      <w:pPr>
        <w:pStyle w:val="ListParagraph"/>
        <w:numPr>
          <w:ilvl w:val="0"/>
          <w:numId w:val="3"/>
        </w:numPr>
        <w:spacing w:after="80"/>
      </w:pPr>
      <w:r>
        <w:rPr>
          <w:sz w:val="22"/>
          <w:szCs w:val="22"/>
        </w:rPr>
        <w:t xml:space="preserve">Calibration — whose predicted probabilities most closely match observed default rates, before and after post-hoc recalibration (Platt scaling or isotonic regression)?</w:t>
      </w:r>
    </w:p>
    <w:p>
      <w:pPr>
        <w:pStyle w:val="ListParagraph"/>
        <w:numPr>
          <w:ilvl w:val="0"/>
          <w:numId w:val="3"/>
        </w:numPr>
        <w:spacing w:after="80"/>
      </w:pPr>
      <w:r>
        <w:rPr>
          <w:sz w:val="22"/>
          <w:szCs w:val="22"/>
        </w:rPr>
        <w:t xml:space="preserve">Decision quality — under a validation-selected, cost-minimising threshold, which model produces the lowest expected loss on the untouched test set?</w:t>
      </w:r>
    </w:p>
    <w:p>
      <w:pPr>
        <w:pStyle w:val="ListParagraph"/>
        <w:numPr>
          <w:ilvl w:val="0"/>
          <w:numId w:val="3"/>
        </w:numPr>
        <w:spacing w:after="80"/>
      </w:pPr>
      <w:r>
        <w:rPr>
          <w:sz w:val="22"/>
          <w:szCs w:val="22"/>
        </w:rPr>
        <w:t xml:space="preserve">Stability — how sensitive is each model's ranking and calibration to resampling (bootstrap confidence intervals) and to the fold used for threshold selection?</w:t>
      </w:r>
    </w:p>
    <w:p>
      <w:pPr>
        <w:pStyle w:val="ListParagraph"/>
        <w:numPr>
          <w:ilvl w:val="0"/>
          <w:numId w:val="3"/>
        </w:numPr>
        <w:spacing w:after="80"/>
      </w:pPr>
      <w:r>
        <w:rPr>
          <w:sz w:val="22"/>
          <w:szCs w:val="22"/>
        </w:rPr>
        <w:t xml:space="preserve">Fairness — do approval and error rates differ materially across age bands and personal-status groups, and are the differences distinguishable from sampling noise?</w:t>
      </w:r>
    </w:p>
    <w:p>
      <w:pPr>
        <w:pStyle w:val="ListParagraph"/>
        <w:numPr>
          <w:ilvl w:val="0"/>
          <w:numId w:val="3"/>
        </w:numPr>
        <w:spacing w:after="80"/>
      </w:pPr>
      <w:r>
        <w:rPr>
          <w:sz w:val="22"/>
          <w:szCs w:val="22"/>
        </w:rPr>
        <w:t xml:space="preserve">Governance cost — does the incremental predictive gain of Random Forest or Gradient Boosting over Logistic Regression justify the added explainability and monitoring burden under RBI and international model-risk-management norms?</w:t>
      </w:r>
    </w:p>
    <w:p>
      <w:r>
        <w:br w:type="page"/>
      </w:r>
    </w:p>
    <w:p>
      <w:pPr>
        <w:pStyle w:val="Heading1"/>
        <w:spacing w:after="160" w:before="360"/>
      </w:pPr>
      <w:r>
        <w:rPr>
          <w:b/>
          <w:bCs/>
          <w:color w:val="1F3864"/>
          <w:sz w:val="30"/>
          <w:szCs w:val="30"/>
        </w:rPr>
        <w:t xml:space="preserve">1. Literature Review and Positioning</w:t>
      </w:r>
    </w:p>
    <w:p>
      <w:pPr>
        <w:spacing w:after="160" w:line="276"/>
        <w:jc w:val="both"/>
      </w:pPr>
      <w:r>
        <w:rPr>
          <w:sz w:val="22"/>
          <w:szCs w:val="22"/>
        </w:rPr>
        <w:t xml:space="preserve">Credit scoring is one of the oldest applied statistics problems in finance, and the interpretable-versus-flexible debate is correspondingly old. Durand's 1941 discriminant-analysis work on instalment loans is generally credited as the first formal statistical credit-scoring model, and logistic regression became the industry default from the 1980s onward because its coefficients map directly onto scorecard points that a credit officer can explain to a regulator or a rejected applicant.</w:t>
      </w:r>
    </w:p>
    <w:p>
      <w:pPr>
        <w:pStyle w:val="Heading2"/>
        <w:spacing w:after="120" w:before="280"/>
      </w:pPr>
      <w:r>
        <w:rPr>
          <w:b/>
          <w:bCs/>
          <w:color w:val="2E5395"/>
          <w:sz w:val="25"/>
          <w:szCs w:val="25"/>
        </w:rPr>
        <w:t xml:space="preserve">1.1 The interpretable-vs-ensemble debate</w:t>
      </w:r>
    </w:p>
    <w:p>
      <w:pPr>
        <w:spacing w:after="160" w:line="276"/>
        <w:jc w:val="both"/>
      </w:pPr>
      <w:r>
        <w:rPr>
          <w:sz w:val="22"/>
          <w:szCs w:val="22"/>
        </w:rPr>
        <w:t xml:space="preserve">Hand and Henley's 1997 review of statistical classification methods in consumer credit scoring argued that the choice of classifier often matters less than the quality of the underlying data and the stability of the population being scored — a caution that remains directly relevant when comparing Logistic Regression with tree ensembles on a benchmark dataset. Lessmann, Baesens, Seow and Thomas's 2015 large-scale benchmark of classification algorithms for credit scoring, an update of an earlier 2003 study, tested dozens of classifiers across multiple datasets and found that several ensemble and heterogeneous-classifier methods delivered statistically significant, though often modest, gains in discrimination over logistic regression, while flagging that discrimination gains do not automatically translate into adopted models once implementation and interpretability costs are considered. This project's hypothesis, that ensembles may edge out Logistic Regression on ranking metrics but the gain may not survive a joint evaluation with calibration, cost, and governance, is a direct descendant of that literature.</w:t>
      </w:r>
    </w:p>
    <w:p>
      <w:pPr>
        <w:pStyle w:val="Heading2"/>
        <w:spacing w:after="120" w:before="280"/>
      </w:pPr>
      <w:r>
        <w:rPr>
          <w:b/>
          <w:bCs/>
          <w:color w:val="2E5395"/>
          <w:sz w:val="25"/>
          <w:szCs w:val="25"/>
        </w:rPr>
        <w:t xml:space="preserve">1.2 Calibration and cost-sensitive decision-making</w:t>
      </w:r>
    </w:p>
    <w:p>
      <w:pPr>
        <w:spacing w:after="160" w:line="276"/>
        <w:jc w:val="both"/>
      </w:pPr>
      <w:r>
        <w:rPr>
          <w:sz w:val="22"/>
          <w:szCs w:val="22"/>
        </w:rPr>
        <w:t xml:space="preserve">A separate literature stream argues that discrimination metrics such as ROC-AUC are decision-agnostic: they summarise ranking quality across all thresholds simultaneously, but a lender only ever operates at one threshold. Cost-sensitive learning reframes model selection around the expected monetary loss of the decision rule actually deployed, which is why this report adopts the Statlog dataset's own five-to-one cost matrix as the basis for threshold selection rather than accepting a 0.5 default or the threshold that maximises accuracy.</w:t>
      </w:r>
    </w:p>
    <w:p>
      <w:pPr>
        <w:pStyle w:val="Heading2"/>
        <w:spacing w:after="120" w:before="280"/>
      </w:pPr>
      <w:r>
        <w:rPr>
          <w:b/>
          <w:bCs/>
          <w:color w:val="2E5395"/>
          <w:sz w:val="25"/>
          <w:szCs w:val="25"/>
        </w:rPr>
        <w:t xml:space="preserve">1.3 Explainability and model risk management</w:t>
      </w:r>
    </w:p>
    <w:p>
      <w:pPr>
        <w:spacing w:after="160" w:line="276"/>
        <w:jc w:val="both"/>
      </w:pPr>
      <w:r>
        <w:rPr>
          <w:sz w:val="22"/>
          <w:szCs w:val="22"/>
        </w:rPr>
        <w:t xml:space="preserve">Regulatory and supervisory guidance on model risk, most influentially the U.S. Federal Reserve and OCC's SR 11-7 guidance on model risk management, treats explainability, documentation, and independent validation as first-class requirements alongside predictive performance. Shapley-value attribution methods (Lundberg and Lee's SHAP framework) and partial dependence analysis have become the standard toolkit for satisfying this requirement for nonlinear models, and this report's explainability layer is built around that toolkit rather than around coefficients alone.</w:t>
      </w:r>
    </w:p>
    <w:p>
      <w:pPr>
        <w:pStyle w:val="Heading2"/>
        <w:spacing w:after="120" w:before="280"/>
      </w:pPr>
      <w:r>
        <w:rPr>
          <w:b/>
          <w:bCs/>
          <w:color w:val="2E5395"/>
          <w:sz w:val="25"/>
          <w:szCs w:val="25"/>
        </w:rPr>
        <w:t xml:space="preserve">1.4 Fairness in algorithmic lending</w:t>
      </w:r>
    </w:p>
    <w:p>
      <w:pPr>
        <w:spacing w:after="160" w:line="276"/>
        <w:jc w:val="both"/>
      </w:pPr>
      <w:r>
        <w:rPr>
          <w:sz w:val="22"/>
          <w:szCs w:val="22"/>
        </w:rPr>
        <w:t xml:space="preserve">The fair-lending literature distinguishes several formal, and generally mutually incompatible, notions of group fairness: demographic parity (equal approval rates across groups), equal opportunity (equal true-positive rates for creditworthy applicants across groups), and equalized odds (equal true-positive and false-positive rates across groups), as formalised by Hardt, Price and Srebro in 2016. The Federal Reserve and Federal Trade Commission's 2007 report to Congress on credit scores documented measurable score differences across demographic groups in the United States without concluding that the scoring models themselves were the cause, illustrating why this report treats subgroup diagnostics as exploratory rather than as proof of discrimination.</w:t>
      </w:r>
    </w:p>
    <w:p>
      <w:pPr>
        <w:pStyle w:val="Heading2"/>
        <w:spacing w:after="120" w:before="280"/>
      </w:pPr>
      <w:r>
        <w:rPr>
          <w:b/>
          <w:bCs/>
          <w:color w:val="2E5395"/>
          <w:sz w:val="25"/>
          <w:szCs w:val="25"/>
        </w:rPr>
        <w:t xml:space="preserve">1.5 Indian regulatory context</w:t>
      </w:r>
    </w:p>
    <w:p>
      <w:pPr>
        <w:spacing w:after="160" w:line="276"/>
        <w:jc w:val="both"/>
      </w:pPr>
      <w:r>
        <w:rPr>
          <w:sz w:val="22"/>
          <w:szCs w:val="22"/>
        </w:rPr>
        <w:t xml:space="preserve">India's credit-bureau ecosystem is governed by the Credit Information Companies (Regulation) Act, 2005, under which the Reserve Bank of India regulates TransUnion CIBIL, Experian, Equifax and CRIF High Mark. The RBI consolidated and updated the reporting framework through the Master Direction – Credit Information Reporting, 2025 (effective 6 January 2025) and a parallel Master Direction – Credit Information Companies, 2025 governing the bureaus themselves, which came into force in November 2025. Both directions tighten consent requirements for data sharing, mandate standardised reporting formats and timelines, and strengthen consumer grievance-redressal mechanisms, reinforcing that any model built on Indian bureau data would need a governance layer at least as rigorous as the one described in Section 9 of this report.</w:t>
      </w:r>
    </w:p>
    <w:p>
      <w:r>
        <w:br w:type="page"/>
      </w:r>
    </w:p>
    <w:p>
      <w:pPr>
        <w:pStyle w:val="Heading1"/>
        <w:spacing w:after="160" w:before="360"/>
      </w:pPr>
      <w:r>
        <w:rPr>
          <w:b/>
          <w:bCs/>
          <w:color w:val="1F3864"/>
          <w:sz w:val="30"/>
          <w:szCs w:val="30"/>
        </w:rPr>
        <w:t xml:space="preserve">2. Credit Scores and Their Economic Role</w:t>
      </w:r>
    </w:p>
    <w:p>
      <w:pPr>
        <w:spacing w:after="160" w:line="276"/>
        <w:jc w:val="both"/>
      </w:pPr>
      <w:r>
        <w:rPr>
          <w:sz w:val="22"/>
          <w:szCs w:val="22"/>
        </w:rPr>
        <w:t xml:space="preserve">A credit score is a numerical summary of estimated creditworthiness. It helps lenders rank applicants by the likelihood of repayment problems and standardise decisions across large portfolios. The score itself is not a guarantee of repayment; it is a model-based estimate derived from available information, and it inherits every limitation of the data and modelling choices behind it.</w:t>
      </w:r>
    </w:p>
    <w:p>
      <w:pPr>
        <w:spacing w:after="160" w:line="276"/>
        <w:jc w:val="both"/>
      </w:pPr>
      <w:r>
        <w:rPr>
          <w:sz w:val="22"/>
          <w:szCs w:val="22"/>
        </w:rPr>
        <w:t xml:space="preserve">Credit scores influence approval, pricing, limits, collateral requirements, and monitoring intensity. A higher estimated risk may result in rejection or a higher interest rate. For borrowers, responsible repayment builds a positive history, while late payments, high utilisation, frequent enquiries, and excessive leverage weaken the profile. Because the score sits between the borrower and the credit decision, small modelling choices — how missing income is imputed, how a thin credit file is treated, how an old default is weighted — can have an outsized effect on real financial outcomes.</w:t>
      </w:r>
    </w:p>
    <w:p>
      <w:pPr>
        <w:pStyle w:val="Heading2"/>
        <w:spacing w:after="120" w:before="280"/>
      </w:pPr>
      <w:r>
        <w:rPr>
          <w:b/>
          <w:bCs/>
          <w:color w:val="2E5395"/>
          <w:sz w:val="25"/>
          <w:szCs w:val="25"/>
        </w:rPr>
        <w:t xml:space="preserve">2.1 Credit bureaus and lender models</w:t>
      </w:r>
    </w:p>
    <w:p>
      <w:pPr>
        <w:spacing w:after="160" w:line="276"/>
        <w:jc w:val="both"/>
      </w:pPr>
      <w:r>
        <w:rPr>
          <w:sz w:val="22"/>
          <w:szCs w:val="22"/>
        </w:rPr>
        <w:t xml:space="preserve">In India, credit information companies include TransUnion CIBIL, Experian, Equifax, and CRIF High Mark, all licensed and supervised by the RBI under the Credit Information Companies (Regulation) Act, 2005. Bureau scores are based mainly on reported credit histories submitted by member credit institutions. Lenders may combine bureau information with application data, account transactions, behavioural variables, income verification, and their own policy rules to build proprietary application or behavioural scorecards on top of the bureau score.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System</w:t>
            </w:r>
          </w:p>
        </w:tc>
        <w:tc>
          <w:tcPr>
            <w:tcW w:type="dxa" w:w="3300"/>
            <w:shd w:fill="1F3864" w:val="clear"/>
            <w:tcMar>
              <w:top w:type="dxa" w:w="80"/>
              <w:left w:type="dxa" w:w="100"/>
              <w:bottom w:type="dxa" w:w="80"/>
              <w:right w:type="dxa" w:w="100"/>
            </w:tcMar>
            <w:vAlign w:val="center"/>
          </w:tcPr>
          <w:p>
            <w:r>
              <w:rPr>
                <w:b/>
                <w:bCs/>
                <w:color w:val="FFFFFF"/>
                <w:sz w:val="20"/>
                <w:szCs w:val="20"/>
              </w:rPr>
              <w:t xml:space="preserve">Primary purpose</w:t>
            </w:r>
          </w:p>
        </w:tc>
        <w:tc>
          <w:tcPr>
            <w:tcW w:type="dxa" w:w="3600"/>
            <w:shd w:fill="1F3864" w:val="clear"/>
            <w:tcMar>
              <w:top w:type="dxa" w:w="80"/>
              <w:left w:type="dxa" w:w="100"/>
              <w:bottom w:type="dxa" w:w="80"/>
              <w:right w:type="dxa" w:w="100"/>
            </w:tcMar>
            <w:vAlign w:val="center"/>
          </w:tcPr>
          <w:p>
            <w:r>
              <w:rPr>
                <w:b/>
                <w:bCs/>
                <w:color w:val="FFFFFF"/>
                <w:sz w:val="20"/>
                <w:szCs w:val="20"/>
              </w:rPr>
              <w:t xml:space="preserve">Typical inputs</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Bureau score</w:t>
            </w:r>
          </w:p>
        </w:tc>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Cross-lender summary of repayment risk</w:t>
            </w:r>
          </w:p>
        </w:tc>
        <w:tc>
          <w:tcPr>
            <w:tcW w:type="dxa" w:w="3600"/>
            <w:shd w:fill="FFFFFF" w:val="clear"/>
            <w:tcMar>
              <w:top w:type="dxa" w:w="80"/>
              <w:left w:type="dxa" w:w="100"/>
              <w:bottom w:type="dxa" w:w="80"/>
              <w:right w:type="dxa" w:w="100"/>
            </w:tcMar>
            <w:vAlign w:val="center"/>
          </w:tcPr>
          <w:p>
            <w:r>
              <w:rPr>
                <w:b w:val="false"/>
                <w:bCs w:val="false"/>
                <w:color w:val="000000"/>
                <w:sz w:val="20"/>
                <w:szCs w:val="20"/>
              </w:rPr>
              <w:t xml:space="preserve">Repayment history, utilisation, enquiries, account age</w:t>
            </w:r>
          </w:p>
        </w:tc>
      </w:tr>
      <w:tr>
        <w:tc>
          <w:tcPr>
            <w:tcW w:type="dxa" w:w="2600"/>
            <w:shd w:fill="F2F6FC" w:val="clear"/>
            <w:tcMar>
              <w:top w:type="dxa" w:w="80"/>
              <w:left w:type="dxa" w:w="100"/>
              <w:bottom w:type="dxa" w:w="80"/>
              <w:right w:type="dxa" w:w="100"/>
            </w:tcMar>
            <w:vAlign w:val="center"/>
          </w:tcPr>
          <w:p>
            <w:r>
              <w:rPr>
                <w:b w:val="false"/>
                <w:bCs w:val="false"/>
                <w:color w:val="000000"/>
                <w:sz w:val="20"/>
                <w:szCs w:val="20"/>
              </w:rPr>
              <w:t xml:space="preserve">Application score</w:t>
            </w:r>
          </w:p>
        </w:tc>
        <w:tc>
          <w:tcPr>
            <w:tcW w:type="dxa" w:w="3300"/>
            <w:shd w:fill="F2F6FC" w:val="clear"/>
            <w:tcMar>
              <w:top w:type="dxa" w:w="80"/>
              <w:left w:type="dxa" w:w="100"/>
              <w:bottom w:type="dxa" w:w="80"/>
              <w:right w:type="dxa" w:w="100"/>
            </w:tcMar>
            <w:vAlign w:val="center"/>
          </w:tcPr>
          <w:p>
            <w:r>
              <w:rPr>
                <w:b w:val="false"/>
                <w:bCs w:val="false"/>
                <w:color w:val="000000"/>
                <w:sz w:val="20"/>
                <w:szCs w:val="20"/>
              </w:rPr>
              <w:t xml:space="preserve">Assess a new loan application</w:t>
            </w:r>
          </w:p>
        </w:tc>
        <w:tc>
          <w:tcPr>
            <w:tcW w:type="dxa" w:w="3600"/>
            <w:shd w:fill="F2F6FC" w:val="clear"/>
            <w:tcMar>
              <w:top w:type="dxa" w:w="80"/>
              <w:left w:type="dxa" w:w="100"/>
              <w:bottom w:type="dxa" w:w="80"/>
              <w:right w:type="dxa" w:w="100"/>
            </w:tcMar>
            <w:vAlign w:val="center"/>
          </w:tcPr>
          <w:p>
            <w:r>
              <w:rPr>
                <w:b w:val="false"/>
                <w:bCs w:val="false"/>
                <w:color w:val="000000"/>
                <w:sz w:val="20"/>
                <w:szCs w:val="20"/>
              </w:rPr>
              <w:t xml:space="preserve">Bureau data, income, employment, requested loan</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Behavioural score</w:t>
            </w:r>
          </w:p>
        </w:tc>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Monitor an existing borrower</w:t>
            </w:r>
          </w:p>
        </w:tc>
        <w:tc>
          <w:tcPr>
            <w:tcW w:type="dxa" w:w="3600"/>
            <w:shd w:fill="FFFFFF" w:val="clear"/>
            <w:tcMar>
              <w:top w:type="dxa" w:w="80"/>
              <w:left w:type="dxa" w:w="100"/>
              <w:bottom w:type="dxa" w:w="80"/>
              <w:right w:type="dxa" w:w="100"/>
            </w:tcMar>
            <w:vAlign w:val="center"/>
          </w:tcPr>
          <w:p>
            <w:r>
              <w:rPr>
                <w:b w:val="false"/>
                <w:bCs w:val="false"/>
                <w:color w:val="000000"/>
                <w:sz w:val="20"/>
                <w:szCs w:val="20"/>
              </w:rPr>
              <w:t xml:space="preserve">Payments, balances, utilisation and transactions</w:t>
            </w:r>
          </w:p>
        </w:tc>
      </w:tr>
      <w:tr>
        <w:tc>
          <w:tcPr>
            <w:tcW w:type="dxa" w:w="2600"/>
            <w:shd w:fill="F2F6FC" w:val="clear"/>
            <w:tcMar>
              <w:top w:type="dxa" w:w="80"/>
              <w:left w:type="dxa" w:w="100"/>
              <w:bottom w:type="dxa" w:w="80"/>
              <w:right w:type="dxa" w:w="100"/>
            </w:tcMar>
            <w:vAlign w:val="center"/>
          </w:tcPr>
          <w:p>
            <w:r>
              <w:rPr>
                <w:b w:val="false"/>
                <w:bCs w:val="false"/>
                <w:color w:val="000000"/>
                <w:sz w:val="20"/>
                <w:szCs w:val="20"/>
              </w:rPr>
              <w:t xml:space="preserve">Collection score</w:t>
            </w:r>
          </w:p>
        </w:tc>
        <w:tc>
          <w:tcPr>
            <w:tcW w:type="dxa" w:w="3300"/>
            <w:shd w:fill="F2F6FC" w:val="clear"/>
            <w:tcMar>
              <w:top w:type="dxa" w:w="80"/>
              <w:left w:type="dxa" w:w="100"/>
              <w:bottom w:type="dxa" w:w="80"/>
              <w:right w:type="dxa" w:w="100"/>
            </w:tcMar>
            <w:vAlign w:val="center"/>
          </w:tcPr>
          <w:p>
            <w:r>
              <w:rPr>
                <w:b w:val="false"/>
                <w:bCs w:val="false"/>
                <w:color w:val="000000"/>
                <w:sz w:val="20"/>
                <w:szCs w:val="20"/>
              </w:rPr>
              <w:t xml:space="preserve">Prioritise delinquent accounts</w:t>
            </w:r>
          </w:p>
        </w:tc>
        <w:tc>
          <w:tcPr>
            <w:tcW w:type="dxa" w:w="3600"/>
            <w:shd w:fill="F2F6FC" w:val="clear"/>
            <w:tcMar>
              <w:top w:type="dxa" w:w="80"/>
              <w:left w:type="dxa" w:w="100"/>
              <w:bottom w:type="dxa" w:w="80"/>
              <w:right w:type="dxa" w:w="100"/>
            </w:tcMar>
            <w:vAlign w:val="center"/>
          </w:tcPr>
          <w:p>
            <w:r>
              <w:rPr>
                <w:b w:val="false"/>
                <w:bCs w:val="false"/>
                <w:color w:val="000000"/>
                <w:sz w:val="20"/>
                <w:szCs w:val="20"/>
              </w:rPr>
              <w:t xml:space="preserve">Days past due, past cures, balance and contact history</w:t>
            </w:r>
          </w:p>
        </w:tc>
      </w:tr>
    </w:tbl>
    <w:p>
      <w:pPr>
        <w:spacing w:after="200" w:before="60"/>
        <w:jc w:val="center"/>
      </w:pPr>
      <w:r>
        <w:rPr>
          <w:i/>
          <w:iCs/>
          <w:color w:val="595959"/>
          <w:sz w:val="18"/>
          <w:szCs w:val="18"/>
        </w:rPr>
        <w:t xml:space="preserve">Table 2.1 — Credit-scoring systems across the loan lifecycle.</w:t>
      </w:r>
    </w:p>
    <w:p>
      <w:pPr>
        <w:pStyle w:val="Heading2"/>
        <w:spacing w:after="120" w:before="280"/>
      </w:pPr>
      <w:r>
        <w:rPr>
          <w:b/>
          <w:bCs/>
          <w:color w:val="2E5395"/>
          <w:sz w:val="25"/>
          <w:szCs w:val="25"/>
        </w:rPr>
        <w:t xml:space="preserve">2.2 The 2025 regulatory update in India</w:t>
      </w:r>
    </w:p>
    <w:p>
      <w:pPr>
        <w:spacing w:after="160" w:line="276"/>
        <w:jc w:val="both"/>
      </w:pPr>
      <w:r>
        <w:rPr>
          <w:sz w:val="22"/>
          <w:szCs w:val="22"/>
        </w:rPr>
        <w:t xml:space="preserve">The RBI consolidated India's credit-information framework through two 2025 instruments: the Master Direction – Credit Information Reporting, 2025, effective from 6 January 2025, which standardises the data formats, fortnightly reporting cadence, and error-correction timelines that credit institutions must follow when furnishing data to bureaus; and the Master Direction – Credit Information Companies, 2025, which came into force on 28 November 2025 and restructures the supervisory framework for the bureaus themselves, including net-worth thresholds, ownership norms, and consent requirements before data is shared with third parties. Together these directions tighten the chain of custody around the raw data that any Indian credit-scoring model would eventually be trained on, which is directly relevant to the data-lineage requirements discussed in Section 9.</w:t>
      </w:r>
    </w:p>
    <w:p>
      <w:pPr>
        <w:pStyle w:val="Heading2"/>
        <w:spacing w:after="120" w:before="280"/>
      </w:pPr>
      <w:r>
        <w:rPr>
          <w:b/>
          <w:bCs/>
          <w:color w:val="2E5395"/>
          <w:sz w:val="25"/>
          <w:szCs w:val="25"/>
        </w:rPr>
        <w:t xml:space="preserve">2.3 Why the score is an estimate, not a fact</w:t>
      </w:r>
    </w:p>
    <w:p>
      <w:pPr>
        <w:spacing w:after="160" w:line="276"/>
        <w:jc w:val="both"/>
      </w:pPr>
      <w:r>
        <w:rPr>
          <w:sz w:val="22"/>
          <w:szCs w:val="22"/>
        </w:rPr>
        <w:t xml:space="preserve">A score is only as good as three things: the completeness of the reported history, the representativeness of the population used to estimate the model, and the stability of the relationship between the inputs and default over time. Thin-file applicants — those with little or no bureau history — are structurally disadvantaged by any model trained mainly on data from previously banked applicants, which is why this report treats thin-file coverage as a fairness issue in Section 10, not only as a data-quality issue.</w:t>
      </w:r>
    </w:p>
    <w:p>
      <w:r>
        <w:br w:type="page"/>
      </w:r>
    </w:p>
    <w:p>
      <w:pPr>
        <w:pStyle w:val="Heading1"/>
        <w:spacing w:after="160" w:before="360"/>
      </w:pPr>
      <w:r>
        <w:rPr>
          <w:b/>
          <w:bCs/>
          <w:color w:val="1F3864"/>
          <w:sz w:val="30"/>
          <w:szCs w:val="30"/>
        </w:rPr>
        <w:t xml:space="preserve">3. Building Credit Responsibly</w:t>
      </w:r>
    </w:p>
    <w:p>
      <w:pPr>
        <w:spacing w:after="160" w:line="276"/>
        <w:jc w:val="both"/>
      </w:pPr>
      <w:r>
        <w:rPr>
          <w:sz w:val="22"/>
          <w:szCs w:val="22"/>
        </w:rPr>
        <w:t xml:space="preserve">A first credit card can establish a credit history, but it should not be chosen solely for rewards. Annual fees, interest rates, eligibility, limits, acceptance, fraud protection, and repayment discipline matter more than a cash-back percentage. Paying the full statement balance on time avoids revolving interest and creates a cleaner repayment record than making only the minimum payment.</w:t>
      </w:r>
    </w:p>
    <w:p>
      <w:pPr>
        <w:spacing w:after="160" w:line="276"/>
        <w:jc w:val="both"/>
      </w:pPr>
      <w:r>
        <w:rPr>
          <w:sz w:val="22"/>
          <w:szCs w:val="22"/>
        </w:rPr>
        <w:t xml:space="preserve">Credit utilisation is the share of available revolving credit currently in use. Persistently high utilisation may signal financial stress even when minimum payments are made on time, because it indicates the borrower is relying on credit to bridge a recurring shortfall rather than for occasional convenience. Opening many accounts within a short period can also generate multiple hard enquiries and reduce the average age of accounts, both of which are commonly used as risk indicators in bureau scores.</w:t>
      </w:r>
    </w:p>
    <w:p>
      <w:pPr>
        <w:pStyle w:val="Heading2"/>
        <w:spacing w:after="120" w:before="280"/>
      </w:pPr>
      <w:r>
        <w:rPr>
          <w:b/>
          <w:bCs/>
          <w:color w:val="2E5395"/>
          <w:sz w:val="25"/>
          <w:szCs w:val="25"/>
        </w:rPr>
        <w:t xml:space="preserve">3.1 Credit rating versus credit score</w:t>
      </w:r>
    </w:p>
    <w:p>
      <w:pPr>
        <w:spacing w:after="160" w:line="276"/>
        <w:jc w:val="both"/>
      </w:pPr>
      <w:r>
        <w:rPr>
          <w:sz w:val="22"/>
          <w:szCs w:val="22"/>
        </w:rPr>
        <w:t xml:space="preserve">A credit score generally refers to an individual borrower and is expressed numerically on a fixed scale, for example 300–900 for CIBIL. A credit rating more often describes the credit quality of a company, security, or government using letter categories such as AAA to D. Both summarise risk, but they differ in subject, scale, methodology, and use: a rating is typically produced by an analyst team supplementing quantitative models with qualitative judgement, whereas a bureau score is produced almost entirely by an automated statistical model running on standardised inputs.</w:t>
      </w:r>
    </w:p>
    <w:p>
      <w:pPr>
        <w:pStyle w:val="Heading2"/>
        <w:spacing w:after="120" w:before="280"/>
      </w:pPr>
      <w:r>
        <w:rPr>
          <w:b/>
          <w:bCs/>
          <w:color w:val="2E5395"/>
          <w:sz w:val="25"/>
          <w:szCs w:val="25"/>
        </w:rPr>
        <w:t xml:space="preserve">3.2 Important caution</w:t>
      </w:r>
    </w:p>
    <w:p>
      <w:pPr>
        <w:spacing w:after="160" w:line="276"/>
        <w:jc w:val="both"/>
      </w:pPr>
      <w:r>
        <w:rPr>
          <w:sz w:val="22"/>
          <w:szCs w:val="22"/>
        </w:rPr>
        <w:t xml:space="preserve">The exact formula of a commercial bureau score is proprietary. General factor descriptions, such as "payment history matters most" or "utilisation matters second most", should not be confused with the actual weights used by a bureau, which are commercially confidential and periodically retrained. Scores can also differ meaningfully across bureaus because the underlying records, update timing, and models differ — a consumer may reasonably see a different score at CIBIL, Experian, Equifax and CRIF High Mark on the same day.</w:t>
      </w:r>
    </w:p>
    <w:p>
      <w:r>
        <w:br w:type="page"/>
      </w:r>
    </w:p>
    <w:p>
      <w:pPr>
        <w:pStyle w:val="Heading1"/>
        <w:spacing w:after="160" w:before="360"/>
      </w:pPr>
      <w:r>
        <w:rPr>
          <w:b/>
          <w:bCs/>
          <w:color w:val="1F3864"/>
          <w:sz w:val="30"/>
          <w:szCs w:val="30"/>
        </w:rPr>
        <w:t xml:space="preserve">4. Credit-Scoring Model Families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Model</w:t>
            </w:r>
          </w:p>
        </w:tc>
        <w:tc>
          <w:tcPr>
            <w:tcW w:type="dxa" w:w="3400"/>
            <w:shd w:fill="1F3864" w:val="clear"/>
            <w:tcMar>
              <w:top w:type="dxa" w:w="80"/>
              <w:left w:type="dxa" w:w="100"/>
              <w:bottom w:type="dxa" w:w="80"/>
              <w:right w:type="dxa" w:w="100"/>
            </w:tcMar>
            <w:vAlign w:val="center"/>
          </w:tcPr>
          <w:p>
            <w:r>
              <w:rPr>
                <w:b/>
                <w:bCs/>
                <w:color w:val="FFFFFF"/>
                <w:sz w:val="20"/>
                <w:szCs w:val="20"/>
              </w:rPr>
              <w:t xml:space="preserve">Strength</w:t>
            </w:r>
          </w:p>
        </w:tc>
        <w:tc>
          <w:tcPr>
            <w:tcW w:type="dxa" w:w="3700"/>
            <w:shd w:fill="1F3864" w:val="clear"/>
            <w:tcMar>
              <w:top w:type="dxa" w:w="80"/>
              <w:left w:type="dxa" w:w="100"/>
              <w:bottom w:type="dxa" w:w="80"/>
              <w:right w:type="dxa" w:w="100"/>
            </w:tcMar>
            <w:vAlign w:val="center"/>
          </w:tcPr>
          <w:p>
            <w:r>
              <w:rPr>
                <w:b/>
                <w:bCs/>
                <w:color w:val="FFFFFF"/>
                <w:sz w:val="20"/>
                <w:szCs w:val="20"/>
              </w:rPr>
              <w:t xml:space="preserve">Limitation</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Expert scorecard</w:t>
            </w:r>
          </w:p>
        </w:tc>
        <w:tc>
          <w:tcPr>
            <w:tcW w:type="dxa" w:w="3400"/>
            <w:shd w:fill="FFFFFF" w:val="clear"/>
            <w:tcMar>
              <w:top w:type="dxa" w:w="80"/>
              <w:left w:type="dxa" w:w="100"/>
              <w:bottom w:type="dxa" w:w="80"/>
              <w:right w:type="dxa" w:w="100"/>
            </w:tcMar>
            <w:vAlign w:val="center"/>
          </w:tcPr>
          <w:p>
            <w:r>
              <w:rPr>
                <w:b w:val="false"/>
                <w:bCs w:val="false"/>
                <w:color w:val="000000"/>
                <w:sz w:val="20"/>
                <w:szCs w:val="20"/>
              </w:rPr>
              <w:t xml:space="preserve">Simple policy logic and domain control</w:t>
            </w:r>
          </w:p>
        </w:tc>
        <w:tc>
          <w:tcPr>
            <w:tcW w:type="dxa" w:w="3700"/>
            <w:shd w:fill="FFFFFF" w:val="clear"/>
            <w:tcMar>
              <w:top w:type="dxa" w:w="80"/>
              <w:left w:type="dxa" w:w="100"/>
              <w:bottom w:type="dxa" w:w="80"/>
              <w:right w:type="dxa" w:w="100"/>
            </w:tcMar>
            <w:vAlign w:val="center"/>
          </w:tcPr>
          <w:p>
            <w:r>
              <w:rPr>
                <w:b w:val="false"/>
                <w:bCs w:val="false"/>
                <w:color w:val="000000"/>
                <w:sz w:val="20"/>
                <w:szCs w:val="20"/>
              </w:rPr>
              <w:t xml:space="preserve">Subjective and slow to adapt</w:t>
            </w:r>
          </w:p>
        </w:tc>
      </w:tr>
      <w:tr>
        <w:tc>
          <w:tcPr>
            <w:tcW w:type="dxa" w:w="2400"/>
            <w:shd w:fill="F2F6FC" w:val="clear"/>
            <w:tcMar>
              <w:top w:type="dxa" w:w="80"/>
              <w:left w:type="dxa" w:w="100"/>
              <w:bottom w:type="dxa" w:w="80"/>
              <w:right w:type="dxa" w:w="100"/>
            </w:tcMar>
            <w:vAlign w:val="center"/>
          </w:tcPr>
          <w:p>
            <w:r>
              <w:rPr>
                <w:b w:val="false"/>
                <w:bCs w:val="false"/>
                <w:color w:val="000000"/>
                <w:sz w:val="20"/>
                <w:szCs w:val="20"/>
              </w:rPr>
              <w:t xml:space="preserve">Logistic Regression</w:t>
            </w:r>
          </w:p>
        </w:tc>
        <w:tc>
          <w:tcPr>
            <w:tcW w:type="dxa" w:w="3400"/>
            <w:shd w:fill="F2F6FC" w:val="clear"/>
            <w:tcMar>
              <w:top w:type="dxa" w:w="80"/>
              <w:left w:type="dxa" w:w="100"/>
              <w:bottom w:type="dxa" w:w="80"/>
              <w:right w:type="dxa" w:w="100"/>
            </w:tcMar>
            <w:vAlign w:val="center"/>
          </w:tcPr>
          <w:p>
            <w:r>
              <w:rPr>
                <w:b w:val="false"/>
                <w:bCs w:val="false"/>
                <w:color w:val="000000"/>
                <w:sz w:val="20"/>
                <w:szCs w:val="20"/>
              </w:rPr>
              <w:t xml:space="preserve">Interpretable probability model; strong governance</w:t>
            </w:r>
          </w:p>
        </w:tc>
        <w:tc>
          <w:tcPr>
            <w:tcW w:type="dxa" w:w="3700"/>
            <w:shd w:fill="F2F6FC" w:val="clear"/>
            <w:tcMar>
              <w:top w:type="dxa" w:w="80"/>
              <w:left w:type="dxa" w:w="100"/>
              <w:bottom w:type="dxa" w:w="80"/>
              <w:right w:type="dxa" w:w="100"/>
            </w:tcMar>
            <w:vAlign w:val="center"/>
          </w:tcPr>
          <w:p>
            <w:r>
              <w:rPr>
                <w:b w:val="false"/>
                <w:bCs w:val="false"/>
                <w:color w:val="000000"/>
                <w:sz w:val="20"/>
                <w:szCs w:val="20"/>
              </w:rPr>
              <w:t xml:space="preserve">Linear log-odds unless features are engineered</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Decision Tree</w:t>
            </w:r>
          </w:p>
        </w:tc>
        <w:tc>
          <w:tcPr>
            <w:tcW w:type="dxa" w:w="3400"/>
            <w:shd w:fill="FFFFFF" w:val="clear"/>
            <w:tcMar>
              <w:top w:type="dxa" w:w="80"/>
              <w:left w:type="dxa" w:w="100"/>
              <w:bottom w:type="dxa" w:w="80"/>
              <w:right w:type="dxa" w:w="100"/>
            </w:tcMar>
            <w:vAlign w:val="center"/>
          </w:tcPr>
          <w:p>
            <w:r>
              <w:rPr>
                <w:b w:val="false"/>
                <w:bCs w:val="false"/>
                <w:color w:val="000000"/>
                <w:sz w:val="20"/>
                <w:szCs w:val="20"/>
              </w:rPr>
              <w:t xml:space="preserve">Readable nonlinear rules</w:t>
            </w:r>
          </w:p>
        </w:tc>
        <w:tc>
          <w:tcPr>
            <w:tcW w:type="dxa" w:w="3700"/>
            <w:shd w:fill="FFFFFF" w:val="clear"/>
            <w:tcMar>
              <w:top w:type="dxa" w:w="80"/>
              <w:left w:type="dxa" w:w="100"/>
              <w:bottom w:type="dxa" w:w="80"/>
              <w:right w:type="dxa" w:w="100"/>
            </w:tcMar>
            <w:vAlign w:val="center"/>
          </w:tcPr>
          <w:p>
            <w:r>
              <w:rPr>
                <w:b w:val="false"/>
                <w:bCs w:val="false"/>
                <w:color w:val="000000"/>
                <w:sz w:val="20"/>
                <w:szCs w:val="20"/>
              </w:rPr>
              <w:t xml:space="preserve">Unstable and prone to overfitting</w:t>
            </w:r>
          </w:p>
        </w:tc>
      </w:tr>
      <w:tr>
        <w:tc>
          <w:tcPr>
            <w:tcW w:type="dxa" w:w="2400"/>
            <w:shd w:fill="F2F6FC" w:val="clear"/>
            <w:tcMar>
              <w:top w:type="dxa" w:w="80"/>
              <w:left w:type="dxa" w:w="100"/>
              <w:bottom w:type="dxa" w:w="80"/>
              <w:right w:type="dxa" w:w="100"/>
            </w:tcMar>
            <w:vAlign w:val="center"/>
          </w:tcPr>
          <w:p>
            <w:r>
              <w:rPr>
                <w:b w:val="false"/>
                <w:bCs w:val="false"/>
                <w:color w:val="000000"/>
                <w:sz w:val="20"/>
                <w:szCs w:val="20"/>
              </w:rPr>
              <w:t xml:space="preserve">Random Forest</w:t>
            </w:r>
          </w:p>
        </w:tc>
        <w:tc>
          <w:tcPr>
            <w:tcW w:type="dxa" w:w="3400"/>
            <w:shd w:fill="F2F6FC" w:val="clear"/>
            <w:tcMar>
              <w:top w:type="dxa" w:w="80"/>
              <w:left w:type="dxa" w:w="100"/>
              <w:bottom w:type="dxa" w:w="80"/>
              <w:right w:type="dxa" w:w="100"/>
            </w:tcMar>
            <w:vAlign w:val="center"/>
          </w:tcPr>
          <w:p>
            <w:r>
              <w:rPr>
                <w:b w:val="false"/>
                <w:bCs w:val="false"/>
                <w:color w:val="000000"/>
                <w:sz w:val="20"/>
                <w:szCs w:val="20"/>
              </w:rPr>
              <w:t xml:space="preserve">Robust nonlinear interactions</w:t>
            </w:r>
          </w:p>
        </w:tc>
        <w:tc>
          <w:tcPr>
            <w:tcW w:type="dxa" w:w="3700"/>
            <w:shd w:fill="F2F6FC" w:val="clear"/>
            <w:tcMar>
              <w:top w:type="dxa" w:w="80"/>
              <w:left w:type="dxa" w:w="100"/>
              <w:bottom w:type="dxa" w:w="80"/>
              <w:right w:type="dxa" w:w="100"/>
            </w:tcMar>
            <w:vAlign w:val="center"/>
          </w:tcPr>
          <w:p>
            <w:r>
              <w:rPr>
                <w:b w:val="false"/>
                <w:bCs w:val="false"/>
                <w:color w:val="000000"/>
                <w:sz w:val="20"/>
                <w:szCs w:val="20"/>
              </w:rPr>
              <w:t xml:space="preserve">Less transparent; probabilities may need calibration</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Gradient Boosting</w:t>
            </w:r>
          </w:p>
        </w:tc>
        <w:tc>
          <w:tcPr>
            <w:tcW w:type="dxa" w:w="3400"/>
            <w:shd w:fill="FFFFFF" w:val="clear"/>
            <w:tcMar>
              <w:top w:type="dxa" w:w="80"/>
              <w:left w:type="dxa" w:w="100"/>
              <w:bottom w:type="dxa" w:w="80"/>
              <w:right w:type="dxa" w:w="100"/>
            </w:tcMar>
            <w:vAlign w:val="center"/>
          </w:tcPr>
          <w:p>
            <w:r>
              <w:rPr>
                <w:b w:val="false"/>
                <w:bCs w:val="false"/>
                <w:color w:val="000000"/>
                <w:sz w:val="20"/>
                <w:szCs w:val="20"/>
              </w:rPr>
              <w:t xml:space="preserve">Strong tabular-data performance</w:t>
            </w:r>
          </w:p>
        </w:tc>
        <w:tc>
          <w:tcPr>
            <w:tcW w:type="dxa" w:w="3700"/>
            <w:shd w:fill="FFFFFF" w:val="clear"/>
            <w:tcMar>
              <w:top w:type="dxa" w:w="80"/>
              <w:left w:type="dxa" w:w="100"/>
              <w:bottom w:type="dxa" w:w="80"/>
              <w:right w:type="dxa" w:w="100"/>
            </w:tcMar>
            <w:vAlign w:val="center"/>
          </w:tcPr>
          <w:p>
            <w:r>
              <w:rPr>
                <w:b w:val="false"/>
                <w:bCs w:val="false"/>
                <w:color w:val="000000"/>
                <w:sz w:val="20"/>
                <w:szCs w:val="20"/>
              </w:rPr>
              <w:t xml:space="preserve">Greater tuning and governance burden</w:t>
            </w:r>
          </w:p>
        </w:tc>
      </w:tr>
      <w:tr>
        <w:tc>
          <w:tcPr>
            <w:tcW w:type="dxa" w:w="2400"/>
            <w:shd w:fill="F2F6FC" w:val="clear"/>
            <w:tcMar>
              <w:top w:type="dxa" w:w="80"/>
              <w:left w:type="dxa" w:w="100"/>
              <w:bottom w:type="dxa" w:w="80"/>
              <w:right w:type="dxa" w:w="100"/>
            </w:tcMar>
            <w:vAlign w:val="center"/>
          </w:tcPr>
          <w:p>
            <w:r>
              <w:rPr>
                <w:b w:val="false"/>
                <w:bCs w:val="false"/>
                <w:color w:val="000000"/>
                <w:sz w:val="20"/>
                <w:szCs w:val="20"/>
              </w:rPr>
              <w:t xml:space="preserve">Neural network</w:t>
            </w:r>
          </w:p>
        </w:tc>
        <w:tc>
          <w:tcPr>
            <w:tcW w:type="dxa" w:w="3400"/>
            <w:shd w:fill="F2F6FC" w:val="clear"/>
            <w:tcMar>
              <w:top w:type="dxa" w:w="80"/>
              <w:left w:type="dxa" w:w="100"/>
              <w:bottom w:type="dxa" w:w="80"/>
              <w:right w:type="dxa" w:w="100"/>
            </w:tcMar>
            <w:vAlign w:val="center"/>
          </w:tcPr>
          <w:p>
            <w:r>
              <w:rPr>
                <w:b w:val="false"/>
                <w:bCs w:val="false"/>
                <w:color w:val="000000"/>
                <w:sz w:val="20"/>
                <w:szCs w:val="20"/>
              </w:rPr>
              <w:t xml:space="preserve">Flexible representation learning</w:t>
            </w:r>
          </w:p>
        </w:tc>
        <w:tc>
          <w:tcPr>
            <w:tcW w:type="dxa" w:w="3700"/>
            <w:shd w:fill="F2F6FC" w:val="clear"/>
            <w:tcMar>
              <w:top w:type="dxa" w:w="80"/>
              <w:left w:type="dxa" w:w="100"/>
              <w:bottom w:type="dxa" w:w="80"/>
              <w:right w:type="dxa" w:w="100"/>
            </w:tcMar>
            <w:vAlign w:val="center"/>
          </w:tcPr>
          <w:p>
            <w:r>
              <w:rPr>
                <w:b w:val="false"/>
                <w:bCs w:val="false"/>
                <w:color w:val="000000"/>
                <w:sz w:val="20"/>
                <w:szCs w:val="20"/>
              </w:rPr>
              <w:t xml:space="preserve">Data hungry and difficult to explain</w:t>
            </w:r>
          </w:p>
        </w:tc>
      </w:tr>
    </w:tbl>
    <w:p>
      <w:pPr>
        <w:spacing w:after="200" w:before="60"/>
        <w:jc w:val="center"/>
      </w:pPr>
      <w:r>
        <w:rPr>
          <w:i/>
          <w:iCs/>
          <w:color w:val="595959"/>
          <w:sz w:val="18"/>
          <w:szCs w:val="18"/>
        </w:rPr>
        <w:t xml:space="preserve">Table 4.1 — Credit-scoring model families, retained from the original taxonomy.</w:t>
      </w:r>
    </w:p>
    <w:p>
      <w:pPr>
        <w:pStyle w:val="Heading2"/>
        <w:spacing w:after="120" w:before="280"/>
      </w:pPr>
      <w:r>
        <w:rPr>
          <w:b/>
          <w:bCs/>
          <w:color w:val="2E5395"/>
          <w:sz w:val="25"/>
          <w:szCs w:val="25"/>
        </w:rPr>
        <w:t xml:space="preserve">4.1 Logistic Regression — the interpretable baseline</w:t>
      </w:r>
    </w:p>
    <w:p>
      <w:pPr>
        <w:spacing w:after="160" w:line="276"/>
        <w:jc w:val="both"/>
      </w:pPr>
      <w:r>
        <w:rPr>
          <w:sz w:val="22"/>
          <w:szCs w:val="22"/>
        </w:rPr>
        <w:t xml:space="preserve">Logistic Regression models the log-odds of default as a linear combination of borrower characteristics:</w:t>
      </w:r>
    </w:p>
    <w:p>
      <w:pPr>
        <w:spacing w:after="160" w:before="120"/>
        <w:jc w:val="center"/>
      </w:pPr>
      <w:r>
        <w:rPr>
          <w:rFonts w:ascii="Cambria Math" w:cs="Cambria Math" w:eastAsia="Cambria Math" w:hAnsi="Cambria Math"/>
          <w:i/>
          <w:iCs/>
          <w:sz w:val="22"/>
          <w:szCs w:val="22"/>
        </w:rPr>
        <w:t xml:space="preserve">logit(p) = ln( p / (1 − p) ) = β₀ + β₁x₁ + β₂x₂ + … + βₖxₖ</w:t>
      </w:r>
    </w:p>
    <w:p>
      <w:pPr>
        <w:spacing w:after="160" w:line="276"/>
        <w:jc w:val="both"/>
      </w:pPr>
      <w:r>
        <w:rPr>
          <w:sz w:val="22"/>
          <w:szCs w:val="22"/>
        </w:rPr>
        <w:t xml:space="preserve">where p is the estimated probability of default and each βᵢ is a coefficient learned from training data. A positive coefficient increases the log-odds of default as the corresponding feature rises; a negative coefficient decreases it. Because the equation is additive in the transformed features, each coefficient can be converted into scorecard points, and the direction and rough magnitude of every input's effect can be explained to a credit committee or, where legally required, to a rejected applicant.</w:t>
      </w:r>
    </w:p>
    <w:p>
      <w:pPr>
        <w:pStyle w:val="Heading3"/>
        <w:spacing w:after="100" w:before="200"/>
      </w:pPr>
      <w:r>
        <w:rPr>
          <w:b/>
          <w:bCs/>
          <w:color w:val="333333"/>
          <w:sz w:val="22"/>
          <w:szCs w:val="22"/>
        </w:rPr>
        <w:t xml:space="preserve">Weight-of-Evidence and Information Value</w:t>
      </w:r>
    </w:p>
    <w:p>
      <w:pPr>
        <w:spacing w:after="160" w:line="276"/>
        <w:jc w:val="both"/>
      </w:pPr>
      <w:r>
        <w:rPr>
          <w:sz w:val="22"/>
          <w:szCs w:val="22"/>
        </w:rPr>
        <w:t xml:space="preserve">Practitioner scorecards typically first bin each continuous or categorical predictor and replace each bin with its Weight of Evidence (WOE), so that Logistic Regression can capture non-monotonic risk patterns while keeping an additive, auditable structure:</w:t>
      </w:r>
    </w:p>
    <w:p>
      <w:pPr>
        <w:spacing w:after="160" w:before="120"/>
        <w:jc w:val="center"/>
      </w:pPr>
      <w:r>
        <w:rPr>
          <w:rFonts w:ascii="Cambria Math" w:cs="Cambria Math" w:eastAsia="Cambria Math" w:hAnsi="Cambria Math"/>
          <w:i/>
          <w:iCs/>
          <w:sz w:val="22"/>
          <w:szCs w:val="22"/>
        </w:rPr>
        <w:t xml:space="preserve">WOEᵢ = ln( (Good%ᵢ) / (Bad%ᵢ) ),   IV = Σᵢ (Good%ᵢ − Bad%ᵢ) × WOEᵢ</w:t>
      </w:r>
    </w:p>
    <w:p>
      <w:pPr>
        <w:spacing w:after="160" w:line="276"/>
        <w:jc w:val="both"/>
      </w:pPr>
      <w:r>
        <w:rPr>
          <w:sz w:val="22"/>
          <w:szCs w:val="22"/>
        </w:rPr>
        <w:t xml:space="preserve">Information Value (IV) summed across bins gives a standard rule of thumb for a predictor's strength: below 0.02 is generally considered too weak to use, 0.02–0.1 weak, 0.1–0.3 medium, 0.3–0.5 strong, and above 0.5 suspiciously strong and worth checking for leakage. The notebook reports IV for every predictor as a companion to permutation importance.</w:t>
      </w:r>
    </w:p>
    <w:p>
      <w:pPr>
        <w:pStyle w:val="Heading2"/>
        <w:spacing w:after="120" w:before="280"/>
      </w:pPr>
      <w:r>
        <w:rPr>
          <w:b/>
          <w:bCs/>
          <w:color w:val="2E5395"/>
          <w:sz w:val="25"/>
          <w:szCs w:val="25"/>
        </w:rPr>
        <w:t xml:space="preserve">4.2 Decision Tree</w:t>
      </w:r>
    </w:p>
    <w:p>
      <w:pPr>
        <w:spacing w:after="160" w:line="276"/>
        <w:jc w:val="both"/>
      </w:pPr>
      <w:r>
        <w:rPr>
          <w:sz w:val="22"/>
          <w:szCs w:val="22"/>
        </w:rPr>
        <w:t xml:space="preserve">A Decision Tree splits the feature space recursively, at each node choosing the feature and threshold that most reduces impurity, most commonly measured by the Gini index:</w:t>
      </w:r>
    </w:p>
    <w:p>
      <w:pPr>
        <w:spacing w:after="160" w:before="120"/>
        <w:jc w:val="center"/>
      </w:pPr>
      <w:r>
        <w:rPr>
          <w:rFonts w:ascii="Cambria Math" w:cs="Cambria Math" w:eastAsia="Cambria Math" w:hAnsi="Cambria Math"/>
          <w:i/>
          <w:iCs/>
          <w:sz w:val="22"/>
          <w:szCs w:val="22"/>
        </w:rPr>
        <w:t xml:space="preserve">Gini = 1 − Σⱼ pⱼ²</w:t>
      </w:r>
    </w:p>
    <w:p>
      <w:pPr>
        <w:spacing w:after="160" w:line="276"/>
        <w:jc w:val="both"/>
      </w:pPr>
      <w:r>
        <w:rPr>
          <w:sz w:val="22"/>
          <w:szCs w:val="22"/>
        </w:rPr>
        <w:t xml:space="preserve">where pⱼ is the proportion of class j among the observations reaching that node. Trees are easy to read as a set of if-then rules, but a single tree is a high-variance estimator: a small change in the training sample can produce a materially different tree structure, which motivates the ensemble methods below.</w:t>
      </w:r>
    </w:p>
    <w:p>
      <w:pPr>
        <w:pStyle w:val="Heading2"/>
        <w:spacing w:after="120" w:before="280"/>
      </w:pPr>
      <w:r>
        <w:rPr>
          <w:b/>
          <w:bCs/>
          <w:color w:val="2E5395"/>
          <w:sz w:val="25"/>
          <w:szCs w:val="25"/>
        </w:rPr>
        <w:t xml:space="preserve">4.3 Random Forest</w:t>
      </w:r>
    </w:p>
    <w:p>
      <w:pPr>
        <w:spacing w:after="160" w:line="276"/>
        <w:jc w:val="both"/>
      </w:pPr>
      <w:r>
        <w:rPr>
          <w:sz w:val="22"/>
          <w:szCs w:val="22"/>
        </w:rPr>
        <w:t xml:space="preserve">Random Forest trains many decision trees on bootstrap resamples of the training data (bagging), with each split additionally restricted to a random subset of features, and averages their predicted probabilities:</w:t>
      </w:r>
    </w:p>
    <w:p>
      <w:pPr>
        <w:spacing w:after="160" w:before="120"/>
        <w:jc w:val="center"/>
      </w:pPr>
      <w:r>
        <w:rPr>
          <w:rFonts w:ascii="Cambria Math" w:cs="Cambria Math" w:eastAsia="Cambria Math" w:hAnsi="Cambria Math"/>
          <w:i/>
          <w:iCs/>
          <w:sz w:val="22"/>
          <w:szCs w:val="22"/>
        </w:rPr>
        <w:t xml:space="preserve">p̂(x) = (1/B) Σᵦ Tᵦ(x)</w:t>
      </w:r>
    </w:p>
    <w:p>
      <w:pPr>
        <w:spacing w:after="160" w:line="276"/>
        <w:jc w:val="both"/>
      </w:pPr>
      <w:r>
        <w:rPr>
          <w:sz w:val="22"/>
          <w:szCs w:val="22"/>
        </w:rPr>
        <w:t xml:space="preserve">where B is the number of trees and Tᵦ(x) is the prediction of the b-th tree. Bagging reduces the variance of a single tree substantially, at the cost of transparency: the ensemble no longer corresponds to a single readable rule set, and its raw predicted probabilities are frequently miscalibrated toward the middle of the range because averaging many trees compresses extreme probabilities.</w:t>
      </w:r>
    </w:p>
    <w:p>
      <w:pPr>
        <w:pStyle w:val="Heading2"/>
        <w:spacing w:after="120" w:before="280"/>
      </w:pPr>
      <w:r>
        <w:rPr>
          <w:b/>
          <w:bCs/>
          <w:color w:val="2E5395"/>
          <w:sz w:val="25"/>
          <w:szCs w:val="25"/>
        </w:rPr>
        <w:t xml:space="preserve">4.4 Gradient Boosting</w:t>
      </w:r>
    </w:p>
    <w:p>
      <w:pPr>
        <w:spacing w:after="160" w:line="276"/>
        <w:jc w:val="both"/>
      </w:pPr>
      <w:r>
        <w:rPr>
          <w:sz w:val="22"/>
          <w:szCs w:val="22"/>
        </w:rPr>
        <w:t xml:space="preserve">Gradient Boosting builds trees sequentially, with each new tree fitted to the negative gradient (the pseudo-residuals) of the loss function evaluated on the current ensemble's predictions:</w:t>
      </w:r>
    </w:p>
    <w:p>
      <w:pPr>
        <w:spacing w:after="160" w:before="120"/>
        <w:jc w:val="center"/>
      </w:pPr>
      <w:r>
        <w:rPr>
          <w:rFonts w:ascii="Cambria Math" w:cs="Cambria Math" w:eastAsia="Cambria Math" w:hAnsi="Cambria Math"/>
          <w:i/>
          <w:iCs/>
          <w:sz w:val="22"/>
          <w:szCs w:val="22"/>
        </w:rPr>
        <w:t xml:space="preserve">Fₘ(x) = Fₘ₋₁(x) + ν · hₘ(x),  hₘ ≈ −∂L(y, F)/∂F</w:t>
      </w:r>
    </w:p>
    <w:p>
      <w:pPr>
        <w:spacing w:after="160" w:line="276"/>
        <w:jc w:val="both"/>
      </w:pPr>
      <w:r>
        <w:rPr>
          <w:sz w:val="22"/>
          <w:szCs w:val="22"/>
        </w:rPr>
        <w:t xml:space="preserve">where ν is a learning-rate shrinkage parameter and hₘ is the m-th tree. Because each tree corrects the errors of the previous ensemble, Gradient Boosting can achieve strong performance on tabular data with relatively few trees, but it is more sensitive to hyperparameter choices (learning rate, tree depth, number of estimators, regularisation) and requires a correspondingly heavier tuning and monitoring burden.</w:t>
      </w:r>
    </w:p>
    <w:p>
      <w:pPr>
        <w:pStyle w:val="Heading2"/>
        <w:spacing w:after="120" w:before="280"/>
      </w:pPr>
      <w:r>
        <w:rPr>
          <w:b/>
          <w:bCs/>
          <w:color w:val="2E5395"/>
          <w:sz w:val="25"/>
          <w:szCs w:val="25"/>
        </w:rPr>
        <w:t xml:space="preserve">4.5 Neural networks</w:t>
      </w:r>
    </w:p>
    <w:p>
      <w:pPr>
        <w:spacing w:after="160" w:line="276"/>
        <w:jc w:val="both"/>
      </w:pPr>
      <w:r>
        <w:rPr>
          <w:sz w:val="22"/>
          <w:szCs w:val="22"/>
        </w:rPr>
        <w:t xml:space="preserve">Feed-forward neural networks compose layers of learned nonlinear transformations and can, in principle, approximate very complex decision boundaries. On the tabular, moderate-sized data typical of consumer credit scoring, they usually offer little accuracy advantage over gradient boosting, are considerably harder to explain to a supervisor, and are markedly more data-hungry — which is why this project does not include a neural network as a primary candidate, consistent with the empirical finding that tree ensembles tend to dominate neural networks on tabular data of this scale.</w:t>
      </w:r>
    </w:p>
    <w:p>
      <w:r>
        <w:br w:type="page"/>
      </w:r>
    </w:p>
    <w:p>
      <w:pPr>
        <w:pStyle w:val="Heading1"/>
        <w:spacing w:after="160" w:before="360"/>
      </w:pPr>
      <w:r>
        <w:rPr>
          <w:b/>
          <w:bCs/>
          <w:color w:val="1F3864"/>
          <w:sz w:val="30"/>
          <w:szCs w:val="30"/>
        </w:rPr>
        <w:t xml:space="preserve">5. Research Methodology</w:t>
      </w:r>
    </w:p>
    <w:p>
      <w:pPr>
        <w:pStyle w:val="Heading2"/>
        <w:spacing w:after="120" w:before="280"/>
      </w:pPr>
      <w:r>
        <w:rPr>
          <w:b/>
          <w:bCs/>
          <w:color w:val="2E5395"/>
          <w:sz w:val="25"/>
          <w:szCs w:val="25"/>
        </w:rPr>
        <w:t xml:space="preserve">5.1 Dataset</w:t>
      </w:r>
    </w:p>
    <w:p>
      <w:pPr>
        <w:spacing w:after="160" w:line="276"/>
        <w:jc w:val="both"/>
      </w:pPr>
      <w:r>
        <w:rPr>
          <w:sz w:val="22"/>
          <w:szCs w:val="22"/>
        </w:rPr>
        <w:t xml:space="preserve">The UCI Statlog German Credit dataset contains 1,000 observations, 20 predictors (7 numerical, 13 categorical), and a good/bad credit-risk outcome, with roughly a 70:30 class split. It is useful as an educational benchmark because it contains mixed variable types, an explicit five-to-one cost matrix, and has been used consistently across the benchmarking literature, which allows this project's methodology to be compared against prior published results. It is not representative of current Indian lending, income levels, or credit-cycle conditions, and no conclusion in this report generalises the numerical results to an Indian borrower population.</w:t>
      </w:r>
    </w:p>
    <w:p>
      <w:pPr>
        <w:pStyle w:val="Heading2"/>
        <w:spacing w:after="120" w:before="280"/>
      </w:pPr>
      <w:r>
        <w:rPr>
          <w:b/>
          <w:bCs/>
          <w:color w:val="2E5395"/>
          <w:sz w:val="25"/>
          <w:szCs w:val="25"/>
        </w:rPr>
        <w:t xml:space="preserve">5.2 Candidate models</w:t>
      </w:r>
    </w:p>
    <w:p>
      <w:pPr>
        <w:pStyle w:val="ListParagraph"/>
        <w:numPr>
          <w:ilvl w:val="0"/>
          <w:numId w:val="2"/>
        </w:numPr>
        <w:spacing w:after="80"/>
      </w:pPr>
      <w:r>
        <w:rPr>
          <w:sz w:val="22"/>
          <w:szCs w:val="22"/>
        </w:rPr>
        <w:t xml:space="preserve">Logistic Regression as the interpretable baseline, fitted on Weight-of-Evidence-transformed features with L2 regularisation.</w:t>
      </w:r>
    </w:p>
    <w:p>
      <w:pPr>
        <w:pStyle w:val="ListParagraph"/>
        <w:numPr>
          <w:ilvl w:val="0"/>
          <w:numId w:val="2"/>
        </w:numPr>
        <w:spacing w:after="80"/>
      </w:pPr>
      <w:r>
        <w:rPr>
          <w:sz w:val="22"/>
          <w:szCs w:val="22"/>
        </w:rPr>
        <w:t xml:space="preserve">Decision Tree as a transparent nonlinear model, depth-limited via cross-validated cost-complexity pruning.</w:t>
      </w:r>
    </w:p>
    <w:p>
      <w:pPr>
        <w:pStyle w:val="ListParagraph"/>
        <w:numPr>
          <w:ilvl w:val="0"/>
          <w:numId w:val="2"/>
        </w:numPr>
        <w:spacing w:after="80"/>
      </w:pPr>
      <w:r>
        <w:rPr>
          <w:sz w:val="22"/>
          <w:szCs w:val="22"/>
        </w:rPr>
        <w:t xml:space="preserve">Random Forest as a bagged ensemble, tuned over the number of trees, maximum depth, and minimum samples per leaf.</w:t>
      </w:r>
    </w:p>
    <w:p>
      <w:pPr>
        <w:pStyle w:val="ListParagraph"/>
        <w:numPr>
          <w:ilvl w:val="0"/>
          <w:numId w:val="2"/>
        </w:numPr>
        <w:spacing w:after="80"/>
      </w:pPr>
      <w:r>
        <w:rPr>
          <w:sz w:val="22"/>
          <w:szCs w:val="22"/>
        </w:rPr>
        <w:t xml:space="preserve">Gradient Boosting as a sequential nonlinear ensemble, tuned over learning rate, number of estimators, and maximum depth.</w:t>
      </w:r>
    </w:p>
    <w:p>
      <w:pPr>
        <w:pStyle w:val="Heading2"/>
        <w:spacing w:after="120" w:before="280"/>
      </w:pPr>
      <w:r>
        <w:rPr>
          <w:b/>
          <w:bCs/>
          <w:color w:val="2E5395"/>
          <w:sz w:val="25"/>
          <w:szCs w:val="25"/>
        </w:rPr>
        <w:t xml:space="preserve">5.3 Data audit and preprocessing pipeline</w:t>
      </w:r>
    </w:p>
    <w:p>
      <w:pPr>
        <w:spacing w:after="160" w:line="276"/>
        <w:jc w:val="both"/>
      </w:pPr>
      <w:r>
        <w:rPr>
          <w:sz w:val="22"/>
          <w:szCs w:val="22"/>
        </w:rPr>
        <w:t xml:space="preserve">Before any modelling, the notebook performs a data audit: it checks the label distribution, missingness by column, duplicate rows, implausible ranges (for example, negative account durations), and confirms the sampling frame described in the UCI documentation. All preprocessing steps are then fit only on the training fold within a scikit-learn Pipeline, so that no information from validation or test observations leaks into imputation, encoding, or scaling statistics.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Stage</w:t>
            </w:r>
          </w:p>
        </w:tc>
        <w:tc>
          <w:tcPr>
            <w:tcW w:type="dxa" w:w="6900"/>
            <w:shd w:fill="1F3864" w:val="clear"/>
            <w:tcMar>
              <w:top w:type="dxa" w:w="80"/>
              <w:left w:type="dxa" w:w="100"/>
              <w:bottom w:type="dxa" w:w="80"/>
              <w:right w:type="dxa" w:w="100"/>
            </w:tcMar>
            <w:vAlign w:val="center"/>
          </w:tcPr>
          <w:p>
            <w:r>
              <w:rPr>
                <w:b/>
                <w:bCs/>
                <w:color w:val="FFFFFF"/>
                <w:sz w:val="20"/>
                <w:szCs w:val="20"/>
              </w:rPr>
              <w:t xml:space="preserve">Key action</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Data audit</w:t>
            </w:r>
          </w:p>
        </w:tc>
        <w:tc>
          <w:tcPr>
            <w:tcW w:type="dxa" w:w="6900"/>
            <w:shd w:fill="FFFFFF" w:val="clear"/>
            <w:tcMar>
              <w:top w:type="dxa" w:w="80"/>
              <w:left w:type="dxa" w:w="100"/>
              <w:bottom w:type="dxa" w:w="80"/>
              <w:right w:type="dxa" w:w="100"/>
            </w:tcMar>
            <w:vAlign w:val="center"/>
          </w:tcPr>
          <w:p>
            <w:r>
              <w:rPr>
                <w:b w:val="false"/>
                <w:bCs w:val="false"/>
                <w:color w:val="000000"/>
                <w:sz w:val="20"/>
                <w:szCs w:val="20"/>
              </w:rPr>
              <w:t xml:space="preserve">Check labels, missingness, duplicates, ranges and sampling</w:t>
            </w:r>
          </w:p>
        </w:tc>
      </w:tr>
      <w:tr>
        <w:tc>
          <w:tcPr>
            <w:tcW w:type="dxa" w:w="2600"/>
            <w:shd w:fill="F2F6FC" w:val="clear"/>
            <w:tcMar>
              <w:top w:type="dxa" w:w="80"/>
              <w:left w:type="dxa" w:w="100"/>
              <w:bottom w:type="dxa" w:w="80"/>
              <w:right w:type="dxa" w:w="100"/>
            </w:tcMar>
            <w:vAlign w:val="center"/>
          </w:tcPr>
          <w:p>
            <w:r>
              <w:rPr>
                <w:b w:val="false"/>
                <w:bCs w:val="false"/>
                <w:color w:val="000000"/>
                <w:sz w:val="20"/>
                <w:szCs w:val="20"/>
              </w:rPr>
              <w:t xml:space="preserve">Split</w:t>
            </w:r>
          </w:p>
        </w:tc>
        <w:tc>
          <w:tcPr>
            <w:tcW w:type="dxa" w:w="6900"/>
            <w:shd w:fill="F2F6FC" w:val="clear"/>
            <w:tcMar>
              <w:top w:type="dxa" w:w="80"/>
              <w:left w:type="dxa" w:w="100"/>
              <w:bottom w:type="dxa" w:w="80"/>
              <w:right w:type="dxa" w:w="100"/>
            </w:tcMar>
            <w:vAlign w:val="center"/>
          </w:tcPr>
          <w:p>
            <w:r>
              <w:rPr>
                <w:b w:val="false"/>
                <w:bCs w:val="false"/>
                <w:color w:val="000000"/>
                <w:sz w:val="20"/>
                <w:szCs w:val="20"/>
              </w:rPr>
              <w:t xml:space="preserve">Create stratified training, validation and final test sets</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Preprocessing</w:t>
            </w:r>
          </w:p>
        </w:tc>
        <w:tc>
          <w:tcPr>
            <w:tcW w:type="dxa" w:w="6900"/>
            <w:shd w:fill="FFFFFF" w:val="clear"/>
            <w:tcMar>
              <w:top w:type="dxa" w:w="80"/>
              <w:left w:type="dxa" w:w="100"/>
              <w:bottom w:type="dxa" w:w="80"/>
              <w:right w:type="dxa" w:w="100"/>
            </w:tcMar>
            <w:vAlign w:val="center"/>
          </w:tcPr>
          <w:p>
            <w:r>
              <w:rPr>
                <w:b w:val="false"/>
                <w:bCs w:val="false"/>
                <w:color w:val="000000"/>
                <w:sz w:val="20"/>
                <w:szCs w:val="20"/>
              </w:rPr>
              <w:t xml:space="preserve">Impute, scale and encode inside a pipeline; WOE-bin for Logistic Regression</w:t>
            </w:r>
          </w:p>
        </w:tc>
      </w:tr>
      <w:tr>
        <w:tc>
          <w:tcPr>
            <w:tcW w:type="dxa" w:w="2600"/>
            <w:shd w:fill="F2F6FC" w:val="clear"/>
            <w:tcMar>
              <w:top w:type="dxa" w:w="80"/>
              <w:left w:type="dxa" w:w="100"/>
              <w:bottom w:type="dxa" w:w="80"/>
              <w:right w:type="dxa" w:w="100"/>
            </w:tcMar>
            <w:vAlign w:val="center"/>
          </w:tcPr>
          <w:p>
            <w:r>
              <w:rPr>
                <w:b w:val="false"/>
                <w:bCs w:val="false"/>
                <w:color w:val="000000"/>
                <w:sz w:val="20"/>
                <w:szCs w:val="20"/>
              </w:rPr>
              <w:t xml:space="preserve">Hyperparameter search</w:t>
            </w:r>
          </w:p>
        </w:tc>
        <w:tc>
          <w:tcPr>
            <w:tcW w:type="dxa" w:w="6900"/>
            <w:shd w:fill="F2F6FC" w:val="clear"/>
            <w:tcMar>
              <w:top w:type="dxa" w:w="80"/>
              <w:left w:type="dxa" w:w="100"/>
              <w:bottom w:type="dxa" w:w="80"/>
              <w:right w:type="dxa" w:w="100"/>
            </w:tcMar>
            <w:vAlign w:val="center"/>
          </w:tcPr>
          <w:p>
            <w:r>
              <w:rPr>
                <w:b w:val="false"/>
                <w:bCs w:val="false"/>
                <w:color w:val="000000"/>
                <w:sz w:val="20"/>
                <w:szCs w:val="20"/>
              </w:rPr>
              <w:t xml:space="preserve">Nested cross-validation with a nested grid or randomised search</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Training</w:t>
            </w:r>
          </w:p>
        </w:tc>
        <w:tc>
          <w:tcPr>
            <w:tcW w:type="dxa" w:w="6900"/>
            <w:shd w:fill="FFFFFF" w:val="clear"/>
            <w:tcMar>
              <w:top w:type="dxa" w:w="80"/>
              <w:left w:type="dxa" w:w="100"/>
              <w:bottom w:type="dxa" w:w="80"/>
              <w:right w:type="dxa" w:w="100"/>
            </w:tcMar>
            <w:vAlign w:val="center"/>
          </w:tcPr>
          <w:p>
            <w:r>
              <w:rPr>
                <w:b w:val="false"/>
                <w:bCs w:val="false"/>
                <w:color w:val="000000"/>
                <w:sz w:val="20"/>
                <w:szCs w:val="20"/>
              </w:rPr>
              <w:t xml:space="preserve">Fit candidate models with the selected hyperparameters</w:t>
            </w:r>
          </w:p>
        </w:tc>
      </w:tr>
      <w:tr>
        <w:tc>
          <w:tcPr>
            <w:tcW w:type="dxa" w:w="2600"/>
            <w:shd w:fill="F2F6FC" w:val="clear"/>
            <w:tcMar>
              <w:top w:type="dxa" w:w="80"/>
              <w:left w:type="dxa" w:w="100"/>
              <w:bottom w:type="dxa" w:w="80"/>
              <w:right w:type="dxa" w:w="100"/>
            </w:tcMar>
            <w:vAlign w:val="center"/>
          </w:tcPr>
          <w:p>
            <w:r>
              <w:rPr>
                <w:b w:val="false"/>
                <w:bCs w:val="false"/>
                <w:color w:val="000000"/>
                <w:sz w:val="20"/>
                <w:szCs w:val="20"/>
              </w:rPr>
              <w:t xml:space="preserve">Calibration</w:t>
            </w:r>
          </w:p>
        </w:tc>
        <w:tc>
          <w:tcPr>
            <w:tcW w:type="dxa" w:w="6900"/>
            <w:shd w:fill="F2F6FC" w:val="clear"/>
            <w:tcMar>
              <w:top w:type="dxa" w:w="80"/>
              <w:left w:type="dxa" w:w="100"/>
              <w:bottom w:type="dxa" w:w="80"/>
              <w:right w:type="dxa" w:w="100"/>
            </w:tcMar>
            <w:vAlign w:val="center"/>
          </w:tcPr>
          <w:p>
            <w:r>
              <w:rPr>
                <w:b w:val="false"/>
                <w:bCs w:val="false"/>
                <w:color w:val="000000"/>
                <w:sz w:val="20"/>
                <w:szCs w:val="20"/>
              </w:rPr>
              <w:t xml:space="preserve">Check whether predicted probabilities match observed outcomes; recalibrate if needed</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Threshold</w:t>
            </w:r>
          </w:p>
        </w:tc>
        <w:tc>
          <w:tcPr>
            <w:tcW w:type="dxa" w:w="6900"/>
            <w:shd w:fill="FFFFFF" w:val="clear"/>
            <w:tcMar>
              <w:top w:type="dxa" w:w="80"/>
              <w:left w:type="dxa" w:w="100"/>
              <w:bottom w:type="dxa" w:w="80"/>
              <w:right w:type="dxa" w:w="100"/>
            </w:tcMar>
            <w:vAlign w:val="center"/>
          </w:tcPr>
          <w:p>
            <w:r>
              <w:rPr>
                <w:b w:val="false"/>
                <w:bCs w:val="false"/>
                <w:color w:val="000000"/>
                <w:sz w:val="20"/>
                <w:szCs w:val="20"/>
              </w:rPr>
              <w:t xml:space="preserve">Choose an operating point from validation-set expected cost</w:t>
            </w:r>
          </w:p>
        </w:tc>
      </w:tr>
      <w:tr>
        <w:tc>
          <w:tcPr>
            <w:tcW w:type="dxa" w:w="2600"/>
            <w:shd w:fill="F2F6FC" w:val="clear"/>
            <w:tcMar>
              <w:top w:type="dxa" w:w="80"/>
              <w:left w:type="dxa" w:w="100"/>
              <w:bottom w:type="dxa" w:w="80"/>
              <w:right w:type="dxa" w:w="100"/>
            </w:tcMar>
            <w:vAlign w:val="center"/>
          </w:tcPr>
          <w:p>
            <w:r>
              <w:rPr>
                <w:b w:val="false"/>
                <w:bCs w:val="false"/>
                <w:color w:val="000000"/>
                <w:sz w:val="20"/>
                <w:szCs w:val="20"/>
              </w:rPr>
              <w:t xml:space="preserve">Final test</w:t>
            </w:r>
          </w:p>
        </w:tc>
        <w:tc>
          <w:tcPr>
            <w:tcW w:type="dxa" w:w="6900"/>
            <w:shd w:fill="F2F6FC" w:val="clear"/>
            <w:tcMar>
              <w:top w:type="dxa" w:w="80"/>
              <w:left w:type="dxa" w:w="100"/>
              <w:bottom w:type="dxa" w:w="80"/>
              <w:right w:type="dxa" w:w="100"/>
            </w:tcMar>
            <w:vAlign w:val="center"/>
          </w:tcPr>
          <w:p>
            <w:r>
              <w:rPr>
                <w:b w:val="false"/>
                <w:bCs w:val="false"/>
                <w:color w:val="000000"/>
                <w:sz w:val="20"/>
                <w:szCs w:val="20"/>
              </w:rPr>
              <w:t xml:space="preserve">Evaluate once, on untouched data, with bootstrap confidence intervals</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Monitoring</w:t>
            </w:r>
          </w:p>
        </w:tc>
        <w:tc>
          <w:tcPr>
            <w:tcW w:type="dxa" w:w="6900"/>
            <w:shd w:fill="FFFFFF" w:val="clear"/>
            <w:tcMar>
              <w:top w:type="dxa" w:w="80"/>
              <w:left w:type="dxa" w:w="100"/>
              <w:bottom w:type="dxa" w:w="80"/>
              <w:right w:type="dxa" w:w="100"/>
            </w:tcMar>
            <w:vAlign w:val="center"/>
          </w:tcPr>
          <w:p>
            <w:r>
              <w:rPr>
                <w:b w:val="false"/>
                <w:bCs w:val="false"/>
                <w:color w:val="000000"/>
                <w:sz w:val="20"/>
                <w:szCs w:val="20"/>
              </w:rPr>
              <w:t xml:space="preserve">Track drift, stability, calibration and subgroup outcomes over time</w:t>
            </w:r>
          </w:p>
        </w:tc>
      </w:tr>
    </w:tbl>
    <w:p>
      <w:pPr>
        <w:spacing w:after="200" w:before="60"/>
        <w:jc w:val="center"/>
      </w:pPr>
      <w:r>
        <w:rPr>
          <w:i/>
          <w:iCs/>
          <w:color w:val="595959"/>
          <w:sz w:val="18"/>
          <w:szCs w:val="18"/>
        </w:rPr>
        <w:t xml:space="preserve">Table 5.1 — End-to-end modelling workflow.</w:t>
      </w:r>
    </w:p>
    <w:p>
      <w:pPr>
        <w:pStyle w:val="Heading2"/>
        <w:spacing w:after="120" w:before="280"/>
      </w:pPr>
      <w:r>
        <w:rPr>
          <w:b/>
          <w:bCs/>
          <w:color w:val="2E5395"/>
          <w:sz w:val="25"/>
          <w:szCs w:val="25"/>
        </w:rPr>
        <w:t xml:space="preserve">5.4 Nested cross-validation and hyperparameter search</w:t>
      </w:r>
    </w:p>
    <w:p>
      <w:pPr>
        <w:spacing w:after="160" w:line="276"/>
        <w:jc w:val="both"/>
      </w:pPr>
      <w:r>
        <w:rPr>
          <w:sz w:val="22"/>
          <w:szCs w:val="22"/>
        </w:rPr>
        <w:t xml:space="preserve">A single train/validation/test split risks an optimistic or pessimistic estimate driven by which observations happened to land in each partition, particularly with only 1,000 rows. The notebook therefore wraps the workflow in nested cross-validation: an outer stratified 5-fold split provides five independent estimates of final-test performance, and within each outer training fold, an inner stratified 5-fold split is used purely for hyperparameter search (grid or randomised search) so that the same data is never used both to choose a hyperparameter and to score it. The outer loop reports the mean and standard deviation of each metric across its five folds, giving a direct, model-agnostic measure of how much the ranking between models could plausibly change under a different sample.</w:t>
      </w:r>
    </w:p>
    <w:p>
      <w:pPr>
        <w:pStyle w:val="Heading2"/>
        <w:spacing w:after="120" w:before="280"/>
      </w:pPr>
      <w:r>
        <w:rPr>
          <w:b/>
          <w:bCs/>
          <w:color w:val="2E5395"/>
          <w:sz w:val="25"/>
          <w:szCs w:val="25"/>
        </w:rPr>
        <w:t xml:space="preserve">5.5 Hypothesis</w:t>
      </w:r>
    </w:p>
    <w:p>
      <w:pPr>
        <w:spacing w:after="160" w:line="276"/>
        <w:jc w:val="both"/>
      </w:pPr>
      <w:r>
        <w:rPr>
          <w:sz w:val="22"/>
          <w:szCs w:val="22"/>
        </w:rPr>
        <w:t xml:space="preserve">Ensemble models may improve discrimination, but Logistic Regression can remain competitive after calibration and cost-sensitive threshold selection, while retaining a clear advantage in interpretation, governance, and monitoring cost.</w:t>
      </w:r>
    </w:p>
    <w:p>
      <w:pPr>
        <w:pStyle w:val="Heading2"/>
        <w:spacing w:after="120" w:before="280"/>
      </w:pPr>
      <w:r>
        <w:rPr>
          <w:b/>
          <w:bCs/>
          <w:color w:val="2E5395"/>
          <w:sz w:val="25"/>
          <w:szCs w:val="25"/>
        </w:rPr>
        <w:t xml:space="preserve">5.6 Reproducibility controls</w:t>
      </w:r>
    </w:p>
    <w:p>
      <w:pPr>
        <w:pStyle w:val="ListParagraph"/>
        <w:numPr>
          <w:ilvl w:val="0"/>
          <w:numId w:val="2"/>
        </w:numPr>
        <w:spacing w:after="80"/>
      </w:pPr>
      <w:r>
        <w:rPr>
          <w:sz w:val="22"/>
          <w:szCs w:val="22"/>
        </w:rPr>
        <w:t xml:space="preserve">Fixed random seed across all stochastic steps (splitting, bootstrapping, model initialisation).</w:t>
      </w:r>
    </w:p>
    <w:p>
      <w:pPr>
        <w:pStyle w:val="ListParagraph"/>
        <w:numPr>
          <w:ilvl w:val="0"/>
          <w:numId w:val="2"/>
        </w:numPr>
        <w:spacing w:after="80"/>
      </w:pPr>
      <w:r>
        <w:rPr>
          <w:sz w:val="22"/>
          <w:szCs w:val="22"/>
        </w:rPr>
        <w:t xml:space="preserve">All preprocessing performed inside scikit-learn pipelines, fit only on training folds.</w:t>
      </w:r>
    </w:p>
    <w:p>
      <w:pPr>
        <w:pStyle w:val="ListParagraph"/>
        <w:numPr>
          <w:ilvl w:val="0"/>
          <w:numId w:val="2"/>
        </w:numPr>
        <w:spacing w:after="80"/>
      </w:pPr>
      <w:r>
        <w:rPr>
          <w:sz w:val="22"/>
          <w:szCs w:val="22"/>
        </w:rPr>
        <w:t xml:space="preserve">Nested cross-validation separating hyperparameter selection from performance estimation.</w:t>
      </w:r>
    </w:p>
    <w:p>
      <w:pPr>
        <w:pStyle w:val="ListParagraph"/>
        <w:numPr>
          <w:ilvl w:val="0"/>
          <w:numId w:val="2"/>
        </w:numPr>
        <w:spacing w:after="80"/>
      </w:pPr>
      <w:r>
        <w:rPr>
          <w:sz w:val="22"/>
          <w:szCs w:val="22"/>
        </w:rPr>
        <w:t xml:space="preserve">Decision threshold selected only on validation-fold observations, then frozen before any test-set evaluation.</w:t>
      </w:r>
    </w:p>
    <w:p>
      <w:pPr>
        <w:pStyle w:val="ListParagraph"/>
        <w:numPr>
          <w:ilvl w:val="0"/>
          <w:numId w:val="2"/>
        </w:numPr>
        <w:spacing w:after="80"/>
      </w:pPr>
      <w:r>
        <w:rPr>
          <w:sz w:val="22"/>
          <w:szCs w:val="22"/>
        </w:rPr>
        <w:t xml:space="preserve">Final test set reserved for exactly one evaluation pass per model, to avoid repeated-testing bias.</w:t>
      </w:r>
    </w:p>
    <w:p>
      <w:pPr>
        <w:pStyle w:val="ListParagraph"/>
        <w:numPr>
          <w:ilvl w:val="0"/>
          <w:numId w:val="2"/>
        </w:numPr>
        <w:spacing w:after="80"/>
      </w:pPr>
      <w:r>
        <w:rPr>
          <w:sz w:val="22"/>
          <w:szCs w:val="22"/>
        </w:rPr>
        <w:t xml:space="preserve">Bootstrap resampling (1,000 iterations) of the final test set to report 95% confidence intervals around every headline metric.</w:t>
      </w:r>
    </w:p>
    <w:p>
      <w:r>
        <w:br w:type="page"/>
      </w:r>
    </w:p>
    <w:p>
      <w:pPr>
        <w:pStyle w:val="Heading1"/>
        <w:spacing w:after="160" w:before="360"/>
      </w:pPr>
      <w:r>
        <w:rPr>
          <w:b/>
          <w:bCs/>
          <w:color w:val="1F3864"/>
          <w:sz w:val="30"/>
          <w:szCs w:val="30"/>
        </w:rPr>
        <w:t xml:space="preserve">6. Discrimination, Calibration, and Error Metrics — Definitions</w:t>
      </w:r>
    </w:p>
    <w:p>
      <w:pPr>
        <w:spacing w:after="160" w:line="276"/>
        <w:jc w:val="both"/>
      </w:pPr>
      <w:r>
        <w:rPr>
          <w:sz w:val="22"/>
          <w:szCs w:val="22"/>
        </w:rPr>
        <w:t xml:space="preserve">Neither ROC-AUC nor the KS statistic guarantees that a predicted probability of 20% corresponds to an observed default rate of 20%; that requires calibration analysis separately. This section gives the closed-form definition of every metric the notebook reports, so that the eventual results table can be audited independent of the code.</w:t>
      </w:r>
    </w:p>
    <w:p>
      <w:pPr>
        <w:pStyle w:val="Heading2"/>
        <w:spacing w:after="120" w:before="280"/>
      </w:pPr>
      <w:r>
        <w:rPr>
          <w:b/>
          <w:bCs/>
          <w:color w:val="2E5395"/>
          <w:sz w:val="25"/>
          <w:szCs w:val="25"/>
        </w:rPr>
        <w:t xml:space="preserve">6.1 ROC-AUC</w:t>
      </w:r>
    </w:p>
    <w:p>
      <w:pPr>
        <w:spacing w:after="160" w:line="276"/>
        <w:jc w:val="both"/>
      </w:pPr>
      <w:r>
        <w:rPr>
          <w:sz w:val="22"/>
          <w:szCs w:val="22"/>
        </w:rPr>
        <w:t xml:space="preserve">The Receiver Operating Characteristic curve plots the true-positive rate against the false-positive rate as the classification threshold varies. The Area Under the Curve equals the probability that a randomly chosen bad borrower receives a higher predicted risk score than a randomly chosen good borrower:</w:t>
      </w:r>
    </w:p>
    <w:p>
      <w:pPr>
        <w:spacing w:after="160" w:before="120"/>
        <w:jc w:val="center"/>
      </w:pPr>
      <w:r>
        <w:rPr>
          <w:rFonts w:ascii="Cambria Math" w:cs="Cambria Math" w:eastAsia="Cambria Math" w:hAnsi="Cambria Math"/>
          <w:i/>
          <w:iCs/>
          <w:sz w:val="22"/>
          <w:szCs w:val="22"/>
        </w:rPr>
        <w:t xml:space="preserve">AUC = P( score(bad) &gt; score(good) )</w:t>
      </w:r>
    </w:p>
    <w:p>
      <w:pPr>
        <w:spacing w:after="160" w:line="276"/>
        <w:jc w:val="both"/>
      </w:pPr>
      <w:r>
        <w:rPr>
          <w:sz w:val="22"/>
          <w:szCs w:val="22"/>
        </w:rPr>
        <w:t xml:space="preserve">AUC ranges from 0.5 (no better than random ranking) to 1.0 (perfect ranking) and is threshold-independent, which is precisely why it must be paired with a threshold-specific cost metric before it can inform a lending decision.</w:t>
      </w:r>
    </w:p>
    <w:p>
      <w:pPr>
        <w:pStyle w:val="Heading2"/>
        <w:spacing w:after="120" w:before="280"/>
      </w:pPr>
      <w:r>
        <w:rPr>
          <w:b/>
          <w:bCs/>
          <w:color w:val="2E5395"/>
          <w:sz w:val="25"/>
          <w:szCs w:val="25"/>
        </w:rPr>
        <w:t xml:space="preserve">6.2 Kolmogorov–Smirnov (KS) statistic</w:t>
      </w:r>
    </w:p>
    <w:p>
      <w:pPr>
        <w:spacing w:after="160" w:line="276"/>
        <w:jc w:val="both"/>
      </w:pPr>
      <w:r>
        <w:rPr>
          <w:sz w:val="22"/>
          <w:szCs w:val="22"/>
        </w:rPr>
        <w:t xml:space="preserve">The KS statistic is the maximum vertical distance between the cumulative distribution of predicted scores for good borrowers and the cumulative distribution for bad borrowers:</w:t>
      </w:r>
    </w:p>
    <w:p>
      <w:pPr>
        <w:spacing w:after="160" w:before="120"/>
        <w:jc w:val="center"/>
      </w:pPr>
      <w:r>
        <w:rPr>
          <w:rFonts w:ascii="Cambria Math" w:cs="Cambria Math" w:eastAsia="Cambria Math" w:hAnsi="Cambria Math"/>
          <w:i/>
          <w:iCs/>
          <w:sz w:val="22"/>
          <w:szCs w:val="22"/>
        </w:rPr>
        <w:t xml:space="preserve">KS = max over t of | F_good(t) − F_bad(t) |</w:t>
      </w:r>
    </w:p>
    <w:p>
      <w:pPr>
        <w:spacing w:after="160" w:line="276"/>
        <w:jc w:val="both"/>
      </w:pPr>
      <w:r>
        <w:rPr>
          <w:sz w:val="22"/>
          <w:szCs w:val="22"/>
        </w:rPr>
        <w:t xml:space="preserve">A higher KS indicates the model separates the two populations more sharply at its best-separating threshold; a KS below roughly 20 is generally considered weak in retail credit scoring, 20–40 acceptable, and above 40 strong, though these bands are industry convention rather than a statistical law.</w:t>
      </w:r>
    </w:p>
    <w:p>
      <w:pPr>
        <w:pStyle w:val="Heading2"/>
        <w:spacing w:after="120" w:before="280"/>
      </w:pPr>
      <w:r>
        <w:rPr>
          <w:b/>
          <w:bCs/>
          <w:color w:val="2E5395"/>
          <w:sz w:val="25"/>
          <w:szCs w:val="25"/>
        </w:rPr>
        <w:t xml:space="preserve">6.3 Brier score</w:t>
      </w:r>
    </w:p>
    <w:p>
      <w:pPr>
        <w:spacing w:after="160" w:line="276"/>
        <w:jc w:val="both"/>
      </w:pPr>
      <w:r>
        <w:rPr>
          <w:sz w:val="22"/>
          <w:szCs w:val="22"/>
        </w:rPr>
        <w:t xml:space="preserve">The Brier score is the mean squared error between predicted probabilities and the binary outcome:</w:t>
      </w:r>
    </w:p>
    <w:p>
      <w:pPr>
        <w:spacing w:after="160" w:before="120"/>
        <w:jc w:val="center"/>
      </w:pPr>
      <w:r>
        <w:rPr>
          <w:rFonts w:ascii="Cambria Math" w:cs="Cambria Math" w:eastAsia="Cambria Math" w:hAnsi="Cambria Math"/>
          <w:i/>
          <w:iCs/>
          <w:sz w:val="22"/>
          <w:szCs w:val="22"/>
        </w:rPr>
        <w:t xml:space="preserve">Brier = (1/n) Σᵢ (p̂ᵢ − yᵢ)²</w:t>
      </w:r>
    </w:p>
    <w:p>
      <w:pPr>
        <w:spacing w:after="160" w:line="276"/>
        <w:jc w:val="both"/>
      </w:pPr>
      <w:r>
        <w:rPr>
          <w:sz w:val="22"/>
          <w:szCs w:val="22"/>
        </w:rPr>
        <w:t xml:space="preserve">Unlike AUC and KS, the Brier score penalises both poor ranking and poor calibration, and it can be decomposed into a reliability (calibration) term and a resolution (sharpness) term, which the notebook reports separately.</w:t>
      </w:r>
    </w:p>
    <w:p>
      <w:pPr>
        <w:pStyle w:val="Heading2"/>
        <w:spacing w:after="120" w:before="280"/>
      </w:pPr>
      <w:r>
        <w:rPr>
          <w:b/>
          <w:bCs/>
          <w:color w:val="2E5395"/>
          <w:sz w:val="25"/>
          <w:szCs w:val="25"/>
        </w:rPr>
        <w:t xml:space="preserve">6.4 Calibration curves and the Hosmer–Lemeshow test</w:t>
      </w:r>
    </w:p>
    <w:p>
      <w:pPr>
        <w:spacing w:after="160" w:line="276"/>
        <w:jc w:val="both"/>
      </w:pPr>
      <w:r>
        <w:rPr>
          <w:sz w:val="22"/>
          <w:szCs w:val="22"/>
        </w:rPr>
        <w:t xml:space="preserve">A reliability diagram bins predicted probabilities into deciles and plots the mean predicted probability in each bin against the observed default rate in that bin; a perfectly calibrated model lies on the 45-degree line. The Hosmer–Lemeshow statistic formalises this comparison as a chi-squared goodness-of-fit test across G bins:</w:t>
      </w:r>
    </w:p>
    <w:p>
      <w:pPr>
        <w:spacing w:after="160" w:before="120"/>
        <w:jc w:val="center"/>
      </w:pPr>
      <w:r>
        <w:rPr>
          <w:rFonts w:ascii="Cambria Math" w:cs="Cambria Math" w:eastAsia="Cambria Math" w:hAnsi="Cambria Math"/>
          <w:i/>
          <w:iCs/>
          <w:sz w:val="22"/>
          <w:szCs w:val="22"/>
        </w:rPr>
        <w:t xml:space="preserve">HL = Σ_g (Oᵍ − Eᵍ)² / (Eᵍ (1 − Eᵍ/nᵍ))</w:t>
      </w:r>
    </w:p>
    <w:p>
      <w:pPr>
        <w:spacing w:after="160" w:line="276"/>
        <w:jc w:val="both"/>
      </w:pPr>
      <w:r>
        <w:rPr>
          <w:sz w:val="22"/>
          <w:szCs w:val="22"/>
        </w:rPr>
        <w:t xml:space="preserve">where Oᵍ and Eᵍ are the observed and expected numbers of defaults in bin g. A large HL statistic (small p-value) indicates the model's probabilities are systematically mis-calibrated, motivating a post-hoc recalibration step (Platt scaling for a sigmoid correction, or isotonic regression for a nonparametric monotone correction) before probabilities are used in the cost calculation in Section 7.</w:t>
      </w:r>
    </w:p>
    <w:p>
      <w:pPr>
        <w:pStyle w:val="Heading2"/>
        <w:spacing w:after="120" w:before="280"/>
      </w:pPr>
      <w:r>
        <w:rPr>
          <w:b/>
          <w:bCs/>
          <w:color w:val="2E5395"/>
          <w:sz w:val="25"/>
          <w:szCs w:val="25"/>
        </w:rPr>
        <w:t xml:space="preserve">6.5 Confusion-matrix measures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4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Metric</w:t>
            </w:r>
          </w:p>
        </w:tc>
        <w:tc>
          <w:tcPr>
            <w:tcW w:type="dxa" w:w="2900"/>
            <w:shd w:fill="1F3864" w:val="clear"/>
            <w:tcMar>
              <w:top w:type="dxa" w:w="80"/>
              <w:left w:type="dxa" w:w="100"/>
              <w:bottom w:type="dxa" w:w="80"/>
              <w:right w:type="dxa" w:w="100"/>
            </w:tcMar>
            <w:vAlign w:val="center"/>
          </w:tcPr>
          <w:p>
            <w:r>
              <w:rPr>
                <w:b/>
                <w:bCs/>
                <w:color w:val="FFFFFF"/>
                <w:sz w:val="20"/>
                <w:szCs w:val="20"/>
              </w:rPr>
              <w:t xml:space="preserve">Formula</w:t>
            </w:r>
          </w:p>
        </w:tc>
        <w:tc>
          <w:tcPr>
            <w:tcW w:type="dxa" w:w="4400"/>
            <w:shd w:fill="1F3864" w:val="clear"/>
            <w:tcMar>
              <w:top w:type="dxa" w:w="80"/>
              <w:left w:type="dxa" w:w="100"/>
              <w:bottom w:type="dxa" w:w="80"/>
              <w:right w:type="dxa" w:w="100"/>
            </w:tcMar>
            <w:vAlign w:val="center"/>
          </w:tcPr>
          <w:p>
            <w:r>
              <w:rPr>
                <w:b/>
                <w:bCs/>
                <w:color w:val="FFFFFF"/>
                <w:sz w:val="20"/>
                <w:szCs w:val="20"/>
              </w:rPr>
              <w:t xml:space="preserve">Interpretation</w:t>
            </w:r>
          </w:p>
        </w:tc>
      </w:tr>
      <w:tr>
        <w:tc>
          <w:tcPr>
            <w:tcW w:type="dxa" w:w="2200"/>
            <w:shd w:fill="FFFFFF" w:val="clear"/>
            <w:tcMar>
              <w:top w:type="dxa" w:w="80"/>
              <w:left w:type="dxa" w:w="100"/>
              <w:bottom w:type="dxa" w:w="80"/>
              <w:right w:type="dxa" w:w="100"/>
            </w:tcMar>
            <w:vAlign w:val="center"/>
          </w:tcPr>
          <w:p>
            <w:r>
              <w:rPr>
                <w:b w:val="false"/>
                <w:bCs w:val="false"/>
                <w:color w:val="000000"/>
                <w:sz w:val="20"/>
                <w:szCs w:val="20"/>
              </w:rPr>
              <w:t xml:space="preserve">Precision</w:t>
            </w:r>
          </w:p>
        </w:tc>
        <w:tc>
          <w:tcPr>
            <w:tcW w:type="dxa" w:w="2900"/>
            <w:shd w:fill="FFFFFF" w:val="clear"/>
            <w:tcMar>
              <w:top w:type="dxa" w:w="80"/>
              <w:left w:type="dxa" w:w="100"/>
              <w:bottom w:type="dxa" w:w="80"/>
              <w:right w:type="dxa" w:w="100"/>
            </w:tcMar>
            <w:vAlign w:val="center"/>
          </w:tcPr>
          <w:p>
            <w:r>
              <w:rPr>
                <w:b w:val="false"/>
                <w:bCs w:val="false"/>
                <w:color w:val="000000"/>
                <w:sz w:val="20"/>
                <w:szCs w:val="20"/>
              </w:rPr>
              <w:t xml:space="preserve">TP / (TP + FP)</w:t>
            </w:r>
          </w:p>
        </w:tc>
        <w:tc>
          <w:tcPr>
            <w:tcW w:type="dxa" w:w="4400"/>
            <w:shd w:fill="FFFFFF" w:val="clear"/>
            <w:tcMar>
              <w:top w:type="dxa" w:w="80"/>
              <w:left w:type="dxa" w:w="100"/>
              <w:bottom w:type="dxa" w:w="80"/>
              <w:right w:type="dxa" w:w="100"/>
            </w:tcMar>
            <w:vAlign w:val="center"/>
          </w:tcPr>
          <w:p>
            <w:r>
              <w:rPr>
                <w:b w:val="false"/>
                <w:bCs w:val="false"/>
                <w:color w:val="000000"/>
                <w:sz w:val="20"/>
                <w:szCs w:val="20"/>
              </w:rPr>
              <w:t xml:space="preserve">Share of predicted bad borrowers who are actually bad</w:t>
            </w:r>
          </w:p>
        </w:tc>
      </w:tr>
      <w:tr>
        <w:tc>
          <w:tcPr>
            <w:tcW w:type="dxa" w:w="2200"/>
            <w:shd w:fill="F2F6FC" w:val="clear"/>
            <w:tcMar>
              <w:top w:type="dxa" w:w="80"/>
              <w:left w:type="dxa" w:w="100"/>
              <w:bottom w:type="dxa" w:w="80"/>
              <w:right w:type="dxa" w:w="100"/>
            </w:tcMar>
            <w:vAlign w:val="center"/>
          </w:tcPr>
          <w:p>
            <w:r>
              <w:rPr>
                <w:b w:val="false"/>
                <w:bCs w:val="false"/>
                <w:color w:val="000000"/>
                <w:sz w:val="20"/>
                <w:szCs w:val="20"/>
              </w:rPr>
              <w:t xml:space="preserve">Recall / Sensitivity</w:t>
            </w:r>
          </w:p>
        </w:tc>
        <w:tc>
          <w:tcPr>
            <w:tcW w:type="dxa" w:w="2900"/>
            <w:shd w:fill="F2F6FC" w:val="clear"/>
            <w:tcMar>
              <w:top w:type="dxa" w:w="80"/>
              <w:left w:type="dxa" w:w="100"/>
              <w:bottom w:type="dxa" w:w="80"/>
              <w:right w:type="dxa" w:w="100"/>
            </w:tcMar>
            <w:vAlign w:val="center"/>
          </w:tcPr>
          <w:p>
            <w:r>
              <w:rPr>
                <w:b w:val="false"/>
                <w:bCs w:val="false"/>
                <w:color w:val="000000"/>
                <w:sz w:val="20"/>
                <w:szCs w:val="20"/>
              </w:rPr>
              <w:t xml:space="preserve">TP / (TP + FN)</w:t>
            </w:r>
          </w:p>
        </w:tc>
        <w:tc>
          <w:tcPr>
            <w:tcW w:type="dxa" w:w="4400"/>
            <w:shd w:fill="F2F6FC" w:val="clear"/>
            <w:tcMar>
              <w:top w:type="dxa" w:w="80"/>
              <w:left w:type="dxa" w:w="100"/>
              <w:bottom w:type="dxa" w:w="80"/>
              <w:right w:type="dxa" w:w="100"/>
            </w:tcMar>
            <w:vAlign w:val="center"/>
          </w:tcPr>
          <w:p>
            <w:r>
              <w:rPr>
                <w:b w:val="false"/>
                <w:bCs w:val="false"/>
                <w:color w:val="000000"/>
                <w:sz w:val="20"/>
                <w:szCs w:val="20"/>
              </w:rPr>
              <w:t xml:space="preserve">Share of actual bad borrowers correctly flagged</w:t>
            </w:r>
          </w:p>
        </w:tc>
      </w:tr>
      <w:tr>
        <w:tc>
          <w:tcPr>
            <w:tcW w:type="dxa" w:w="2200"/>
            <w:shd w:fill="FFFFFF" w:val="clear"/>
            <w:tcMar>
              <w:top w:type="dxa" w:w="80"/>
              <w:left w:type="dxa" w:w="100"/>
              <w:bottom w:type="dxa" w:w="80"/>
              <w:right w:type="dxa" w:w="100"/>
            </w:tcMar>
            <w:vAlign w:val="center"/>
          </w:tcPr>
          <w:p>
            <w:r>
              <w:rPr>
                <w:b w:val="false"/>
                <w:bCs w:val="false"/>
                <w:color w:val="000000"/>
                <w:sz w:val="20"/>
                <w:szCs w:val="20"/>
              </w:rPr>
              <w:t xml:space="preserve">Specificity</w:t>
            </w:r>
          </w:p>
        </w:tc>
        <w:tc>
          <w:tcPr>
            <w:tcW w:type="dxa" w:w="2900"/>
            <w:shd w:fill="FFFFFF" w:val="clear"/>
            <w:tcMar>
              <w:top w:type="dxa" w:w="80"/>
              <w:left w:type="dxa" w:w="100"/>
              <w:bottom w:type="dxa" w:w="80"/>
              <w:right w:type="dxa" w:w="100"/>
            </w:tcMar>
            <w:vAlign w:val="center"/>
          </w:tcPr>
          <w:p>
            <w:r>
              <w:rPr>
                <w:b w:val="false"/>
                <w:bCs w:val="false"/>
                <w:color w:val="000000"/>
                <w:sz w:val="20"/>
                <w:szCs w:val="20"/>
              </w:rPr>
              <w:t xml:space="preserve">TN / (TN + FP)</w:t>
            </w:r>
          </w:p>
        </w:tc>
        <w:tc>
          <w:tcPr>
            <w:tcW w:type="dxa" w:w="4400"/>
            <w:shd w:fill="FFFFFF" w:val="clear"/>
            <w:tcMar>
              <w:top w:type="dxa" w:w="80"/>
              <w:left w:type="dxa" w:w="100"/>
              <w:bottom w:type="dxa" w:w="80"/>
              <w:right w:type="dxa" w:w="100"/>
            </w:tcMar>
            <w:vAlign w:val="center"/>
          </w:tcPr>
          <w:p>
            <w:r>
              <w:rPr>
                <w:b w:val="false"/>
                <w:bCs w:val="false"/>
                <w:color w:val="000000"/>
                <w:sz w:val="20"/>
                <w:szCs w:val="20"/>
              </w:rPr>
              <w:t xml:space="preserve">Share of actual good borrowers correctly approved</w:t>
            </w:r>
          </w:p>
        </w:tc>
      </w:tr>
      <w:tr>
        <w:tc>
          <w:tcPr>
            <w:tcW w:type="dxa" w:w="2200"/>
            <w:shd w:fill="F2F6FC" w:val="clear"/>
            <w:tcMar>
              <w:top w:type="dxa" w:w="80"/>
              <w:left w:type="dxa" w:w="100"/>
              <w:bottom w:type="dxa" w:w="80"/>
              <w:right w:type="dxa" w:w="100"/>
            </w:tcMar>
            <w:vAlign w:val="center"/>
          </w:tcPr>
          <w:p>
            <w:r>
              <w:rPr>
                <w:b w:val="false"/>
                <w:bCs w:val="false"/>
                <w:color w:val="000000"/>
                <w:sz w:val="20"/>
                <w:szCs w:val="20"/>
              </w:rPr>
              <w:t xml:space="preserve">F1 score</w:t>
            </w:r>
          </w:p>
        </w:tc>
        <w:tc>
          <w:tcPr>
            <w:tcW w:type="dxa" w:w="2900"/>
            <w:shd w:fill="F2F6FC" w:val="clear"/>
            <w:tcMar>
              <w:top w:type="dxa" w:w="80"/>
              <w:left w:type="dxa" w:w="100"/>
              <w:bottom w:type="dxa" w:w="80"/>
              <w:right w:type="dxa" w:w="100"/>
            </w:tcMar>
            <w:vAlign w:val="center"/>
          </w:tcPr>
          <w:p>
            <w:r>
              <w:rPr>
                <w:b w:val="false"/>
                <w:bCs w:val="false"/>
                <w:color w:val="000000"/>
                <w:sz w:val="20"/>
                <w:szCs w:val="20"/>
              </w:rPr>
              <w:t xml:space="preserve">2·Precision·Recall / (Precision+Recall)</w:t>
            </w:r>
          </w:p>
        </w:tc>
        <w:tc>
          <w:tcPr>
            <w:tcW w:type="dxa" w:w="4400"/>
            <w:shd w:fill="F2F6FC" w:val="clear"/>
            <w:tcMar>
              <w:top w:type="dxa" w:w="80"/>
              <w:left w:type="dxa" w:w="100"/>
              <w:bottom w:type="dxa" w:w="80"/>
              <w:right w:type="dxa" w:w="100"/>
            </w:tcMar>
            <w:vAlign w:val="center"/>
          </w:tcPr>
          <w:p>
            <w:r>
              <w:rPr>
                <w:b w:val="false"/>
                <w:bCs w:val="false"/>
                <w:color w:val="000000"/>
                <w:sz w:val="20"/>
                <w:szCs w:val="20"/>
              </w:rPr>
              <w:t xml:space="preserve">Harmonic mean, ignores the class-cost asymmetry</w:t>
            </w:r>
          </w:p>
        </w:tc>
      </w:tr>
    </w:tbl>
    <w:p>
      <w:pPr>
        <w:spacing w:after="200" w:before="60"/>
        <w:jc w:val="center"/>
      </w:pPr>
      <w:r>
        <w:rPr>
          <w:i/>
          <w:iCs/>
          <w:color w:val="595959"/>
          <w:sz w:val="18"/>
          <w:szCs w:val="18"/>
        </w:rPr>
        <w:t xml:space="preserve">Table 6.1 — Standard confusion-matrix metrics, reported at the cost-minimising threshold from Section 7.</w:t>
      </w:r>
    </w:p>
    <w:p>
      <w:r>
        <w:br w:type="page"/>
      </w:r>
    </w:p>
    <w:p>
      <w:pPr>
        <w:pStyle w:val="Heading1"/>
        <w:spacing w:after="160" w:before="360"/>
      </w:pPr>
      <w:r>
        <w:rPr>
          <w:b/>
          <w:bCs/>
          <w:color w:val="1F3864"/>
          <w:sz w:val="30"/>
          <w:szCs w:val="30"/>
        </w:rPr>
        <w:t xml:space="preserve">7. Asymmetric Cost and Lending Decisions</w:t>
      </w:r>
    </w:p>
    <w:p>
      <w:pPr>
        <w:spacing w:after="160" w:line="276"/>
        <w:jc w:val="both"/>
      </w:pPr>
      <w:r>
        <w:rPr>
          <w:sz w:val="22"/>
          <w:szCs w:val="22"/>
        </w:rPr>
        <w:t xml:space="preserve">Credit decisions have unequal errors. Approving a borrower who later defaults (a false negative, in the sense of failing to catch a bad borrower) can create principal loss, collection expense, provisioning, and capital costs. Rejecting a safe borrower (a false positive) loses interest income and a customer relationship, but the loss is usually smaller in magnitude.</w:t>
      </w:r>
    </w:p>
    <w:p>
      <w:pPr>
        <w:pStyle w:val="Heading2"/>
        <w:spacing w:after="120" w:before="280"/>
      </w:pPr>
      <w:r>
        <w:rPr>
          <w:b/>
          <w:bCs/>
          <w:color w:val="2E5395"/>
          <w:sz w:val="25"/>
          <w:szCs w:val="25"/>
        </w:rPr>
        <w:t xml:space="preserve">7.1 The cost matrix and expected cost</w:t>
      </w:r>
    </w:p>
    <w:p>
      <w:pPr>
        <w:spacing w:after="160" w:line="276"/>
        <w:jc w:val="both"/>
      </w:pPr>
      <w:r>
        <w:rPr>
          <w:sz w:val="22"/>
          <w:szCs w:val="22"/>
        </w:rPr>
        <w:t xml:space="preserve">The Statlog benchmark specifies a cost of five for classifying a bad borrower as good, and a cost of one for classifying a good borrower as bad. Writing C_FN = 5 and C_FP = 1, the expected cost of operating at threshold t on a validation set of size n is:</w:t>
      </w:r>
    </w:p>
    <w:p>
      <w:pPr>
        <w:spacing w:after="160" w:before="120"/>
        <w:jc w:val="center"/>
      </w:pPr>
      <w:r>
        <w:rPr>
          <w:rFonts w:ascii="Cambria Math" w:cs="Cambria Math" w:eastAsia="Cambria Math" w:hAnsi="Cambria Math"/>
          <w:i/>
          <w:iCs/>
          <w:sz w:val="22"/>
          <w:szCs w:val="22"/>
        </w:rPr>
        <w:t xml:space="preserve">Cost(t) = C_FN · FN(t) + C_FP · FP(t)</w:t>
      </w:r>
    </w:p>
    <w:p>
      <w:pPr>
        <w:spacing w:after="160" w:line="276"/>
        <w:jc w:val="both"/>
      </w:pPr>
      <w:r>
        <w:rPr>
          <w:sz w:val="22"/>
          <w:szCs w:val="22"/>
        </w:rPr>
        <w:t xml:space="preserve">The notebook calculates this total validation cost for thresholds swept from 0.05 to 0.95 in increments of 0.01, plots the resulting cost curve for every candidate model, and selects the threshold t* that minimises Cost(t) on the validation fold only. That threshold is then frozen and applied, unchanged, to the final test set, so the reported test cost is a genuinely out-of-sample number rather than one re-optimised on the same data it is evaluated against.</w:t>
      </w:r>
    </w:p>
    <w:p>
      <w:pPr>
        <w:pStyle w:val="Heading2"/>
        <w:spacing w:after="120" w:before="280"/>
      </w:pPr>
      <w:r>
        <w:rPr>
          <w:b/>
          <w:bCs/>
          <w:color w:val="2E5395"/>
          <w:sz w:val="25"/>
          <w:szCs w:val="25"/>
        </w:rPr>
        <w:t xml:space="preserve">7.2 Why 0.5 is not automatically correct</w:t>
      </w:r>
    </w:p>
    <w:p>
      <w:pPr>
        <w:spacing w:after="160" w:line="276"/>
        <w:jc w:val="both"/>
      </w:pPr>
      <w:r>
        <w:rPr>
          <w:sz w:val="22"/>
          <w:szCs w:val="22"/>
        </w:rPr>
        <w:t xml:space="preserve">A probability threshold of 0.5 is a mathematical default that treats both error types as equally costly and assumes the classifier's probabilities are already well calibrated; neither assumption holds here. The economically appropriate threshold depends on the default-loss-to-approval-profit ratio, operational capacity, risk appetite, the prevalence of default in the portfolio, and the quality of probability calibration established in Section 6.4. Because a five-to-one cost ratio is far from symmetric, the cost-minimising threshold is expected to sit below 0.5, effectively making the model more conservative than an accuracy-maximising rule would be.</w:t>
      </w:r>
    </w:p>
    <w:p>
      <w:pPr>
        <w:pStyle w:val="Heading2"/>
        <w:spacing w:after="120" w:before="280"/>
      </w:pPr>
      <w:r>
        <w:rPr>
          <w:b/>
          <w:bCs/>
          <w:color w:val="2E5395"/>
          <w:sz w:val="25"/>
          <w:szCs w:val="25"/>
        </w:rPr>
        <w:t xml:space="preserve">7.3 Credit cycles and threshold stability</w:t>
      </w:r>
    </w:p>
    <w:p>
      <w:pPr>
        <w:spacing w:after="160" w:line="276"/>
        <w:jc w:val="both"/>
      </w:pPr>
      <w:r>
        <w:rPr>
          <w:sz w:val="22"/>
          <w:szCs w:val="22"/>
        </w:rPr>
        <w:t xml:space="preserve">Models estimated during benign periods may underpredict risk during downturns, because borrower behaviour, employment conditions, interest rates, and collateral recovery values all change with the cycle. A threshold selected once on a benign-period validation set can become miscalibrated to the cost structure of a recessionary period even if the model's ranking ability is unchanged. Institutions should therefore stress-test both probabilities and thresholds across expansion and recession scenarios, and monitor population drift (changes in the distribution of incoming applicants relative to the training population) as a leading indicator that recalibration is due.</w:t>
      </w:r>
    </w:p>
    <w:p>
      <w:r>
        <w:br w:type="page"/>
      </w:r>
    </w:p>
    <w:p>
      <w:pPr>
        <w:pStyle w:val="Heading1"/>
        <w:spacing w:after="160" w:before="360"/>
      </w:pPr>
      <w:r>
        <w:rPr>
          <w:b/>
          <w:bCs/>
          <w:color w:val="1F3864"/>
          <w:sz w:val="30"/>
          <w:szCs w:val="30"/>
        </w:rPr>
        <w:t xml:space="preserve">8. AI, Explainability, and Governance</w:t>
      </w:r>
    </w:p>
    <w:p>
      <w:pPr>
        <w:spacing w:after="160" w:line="276"/>
        <w:jc w:val="both"/>
      </w:pPr>
      <w:r>
        <w:rPr>
          <w:sz w:val="22"/>
          <w:szCs w:val="22"/>
        </w:rPr>
        <w:t xml:space="preserve">Machine learning can incorporate nonlinear interactions and large alternative datasets, automate document processing, detect fraud patterns, and update behavioural risk more frequently than a manually re-estimated scorecard. These benefits also introduce model-risk concerns: opacity, unstable relationships, data leakage, privacy exposure, and feedback loops in which the model's own past decisions shape the data it is later retrained on.</w:t>
      </w:r>
    </w:p>
    <w:p>
      <w:pPr>
        <w:pStyle w:val="Heading2"/>
        <w:spacing w:after="120" w:before="280"/>
      </w:pPr>
      <w:r>
        <w:rPr>
          <w:b/>
          <w:bCs/>
          <w:color w:val="2E5395"/>
          <w:sz w:val="25"/>
          <w:szCs w:val="25"/>
        </w:rPr>
        <w:t xml:space="preserve">8.1 Explainability toolkit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Technique</w:t>
            </w:r>
          </w:p>
        </w:tc>
        <w:tc>
          <w:tcPr>
            <w:tcW w:type="dxa" w:w="3600"/>
            <w:shd w:fill="1F3864" w:val="clear"/>
            <w:tcMar>
              <w:top w:type="dxa" w:w="80"/>
              <w:left w:type="dxa" w:w="100"/>
              <w:bottom w:type="dxa" w:w="80"/>
              <w:right w:type="dxa" w:w="100"/>
            </w:tcMar>
            <w:vAlign w:val="center"/>
          </w:tcPr>
          <w:p>
            <w:r>
              <w:rPr>
                <w:b/>
                <w:bCs/>
                <w:color w:val="FFFFFF"/>
                <w:sz w:val="20"/>
                <w:szCs w:val="20"/>
              </w:rPr>
              <w:t xml:space="preserve">Use</w:t>
            </w:r>
          </w:p>
        </w:tc>
        <w:tc>
          <w:tcPr>
            <w:tcW w:type="dxa" w:w="3700"/>
            <w:shd w:fill="1F3864" w:val="clear"/>
            <w:tcMar>
              <w:top w:type="dxa" w:w="80"/>
              <w:left w:type="dxa" w:w="100"/>
              <w:bottom w:type="dxa" w:w="80"/>
              <w:right w:type="dxa" w:w="100"/>
            </w:tcMar>
            <w:vAlign w:val="center"/>
          </w:tcPr>
          <w:p>
            <w:r>
              <w:rPr>
                <w:b/>
                <w:bCs/>
                <w:color w:val="FFFFFF"/>
                <w:sz w:val="20"/>
                <w:szCs w:val="20"/>
              </w:rPr>
              <w:t xml:space="preserve">Caution</w:t>
            </w:r>
          </w:p>
        </w:tc>
      </w:tr>
      <w:tr>
        <w:tc>
          <w:tcPr>
            <w:tcW w:type="dxa" w:w="2200"/>
            <w:shd w:fill="FFFFFF" w:val="clear"/>
            <w:tcMar>
              <w:top w:type="dxa" w:w="80"/>
              <w:left w:type="dxa" w:w="100"/>
              <w:bottom w:type="dxa" w:w="80"/>
              <w:right w:type="dxa" w:w="100"/>
            </w:tcMar>
            <w:vAlign w:val="center"/>
          </w:tcPr>
          <w:p>
            <w:r>
              <w:rPr>
                <w:b w:val="false"/>
                <w:bCs w:val="false"/>
                <w:color w:val="000000"/>
                <w:sz w:val="20"/>
                <w:szCs w:val="20"/>
              </w:rPr>
              <w:t xml:space="preserve">Coefficients</w:t>
            </w:r>
          </w:p>
        </w:tc>
        <w:tc>
          <w:tcPr>
            <w:tcW w:type="dxa" w:w="3600"/>
            <w:shd w:fill="FFFFFF" w:val="clear"/>
            <w:tcMar>
              <w:top w:type="dxa" w:w="80"/>
              <w:left w:type="dxa" w:w="100"/>
              <w:bottom w:type="dxa" w:w="80"/>
              <w:right w:type="dxa" w:w="100"/>
            </w:tcMar>
            <w:vAlign w:val="center"/>
          </w:tcPr>
          <w:p>
            <w:r>
              <w:rPr>
                <w:b w:val="false"/>
                <w:bCs w:val="false"/>
                <w:color w:val="000000"/>
                <w:sz w:val="20"/>
                <w:szCs w:val="20"/>
              </w:rPr>
              <w:t xml:space="preserve">Direction and magnitude in linear models</w:t>
            </w:r>
          </w:p>
        </w:tc>
        <w:tc>
          <w:tcPr>
            <w:tcW w:type="dxa" w:w="3700"/>
            <w:shd w:fill="FFFFFF" w:val="clear"/>
            <w:tcMar>
              <w:top w:type="dxa" w:w="80"/>
              <w:left w:type="dxa" w:w="100"/>
              <w:bottom w:type="dxa" w:w="80"/>
              <w:right w:type="dxa" w:w="100"/>
            </w:tcMar>
            <w:vAlign w:val="center"/>
          </w:tcPr>
          <w:p>
            <w:r>
              <w:rPr>
                <w:b w:val="false"/>
                <w:bCs w:val="false"/>
                <w:color w:val="000000"/>
                <w:sz w:val="20"/>
                <w:szCs w:val="20"/>
              </w:rPr>
              <w:t xml:space="preserve">Depends on coding and scale of the underlying features</w:t>
            </w:r>
          </w:p>
        </w:tc>
      </w:tr>
      <w:tr>
        <w:tc>
          <w:tcPr>
            <w:tcW w:type="dxa" w:w="2200"/>
            <w:shd w:fill="F2F6FC" w:val="clear"/>
            <w:tcMar>
              <w:top w:type="dxa" w:w="80"/>
              <w:left w:type="dxa" w:w="100"/>
              <w:bottom w:type="dxa" w:w="80"/>
              <w:right w:type="dxa" w:w="100"/>
            </w:tcMar>
            <w:vAlign w:val="center"/>
          </w:tcPr>
          <w:p>
            <w:r>
              <w:rPr>
                <w:b w:val="false"/>
                <w:bCs w:val="false"/>
                <w:color w:val="000000"/>
                <w:sz w:val="20"/>
                <w:szCs w:val="20"/>
              </w:rPr>
              <w:t xml:space="preserve">Permutation importance</w:t>
            </w:r>
          </w:p>
        </w:tc>
        <w:tc>
          <w:tcPr>
            <w:tcW w:type="dxa" w:w="3600"/>
            <w:shd w:fill="F2F6FC" w:val="clear"/>
            <w:tcMar>
              <w:top w:type="dxa" w:w="80"/>
              <w:left w:type="dxa" w:w="100"/>
              <w:bottom w:type="dxa" w:w="80"/>
              <w:right w:type="dxa" w:w="100"/>
            </w:tcMar>
            <w:vAlign w:val="center"/>
          </w:tcPr>
          <w:p>
            <w:r>
              <w:rPr>
                <w:b w:val="false"/>
                <w:bCs w:val="false"/>
                <w:color w:val="000000"/>
                <w:sz w:val="20"/>
                <w:szCs w:val="20"/>
              </w:rPr>
              <w:t xml:space="preserve">Performance drop when a feature is shuffled</w:t>
            </w:r>
          </w:p>
        </w:tc>
        <w:tc>
          <w:tcPr>
            <w:tcW w:type="dxa" w:w="3700"/>
            <w:shd w:fill="F2F6FC" w:val="clear"/>
            <w:tcMar>
              <w:top w:type="dxa" w:w="80"/>
              <w:left w:type="dxa" w:w="100"/>
              <w:bottom w:type="dxa" w:w="80"/>
              <w:right w:type="dxa" w:w="100"/>
            </w:tcMar>
            <w:vAlign w:val="center"/>
          </w:tcPr>
          <w:p>
            <w:r>
              <w:rPr>
                <w:b w:val="false"/>
                <w:bCs w:val="false"/>
                <w:color w:val="000000"/>
                <w:sz w:val="20"/>
                <w:szCs w:val="20"/>
              </w:rPr>
              <w:t xml:space="preserve">Correlated features can share or dilute importance</w:t>
            </w:r>
          </w:p>
        </w:tc>
      </w:tr>
      <w:tr>
        <w:tc>
          <w:tcPr>
            <w:tcW w:type="dxa" w:w="2200"/>
            <w:shd w:fill="FFFFFF" w:val="clear"/>
            <w:tcMar>
              <w:top w:type="dxa" w:w="80"/>
              <w:left w:type="dxa" w:w="100"/>
              <w:bottom w:type="dxa" w:w="80"/>
              <w:right w:type="dxa" w:w="100"/>
            </w:tcMar>
            <w:vAlign w:val="center"/>
          </w:tcPr>
          <w:p>
            <w:r>
              <w:rPr>
                <w:b w:val="false"/>
                <w:bCs w:val="false"/>
                <w:color w:val="000000"/>
                <w:sz w:val="20"/>
                <w:szCs w:val="20"/>
              </w:rPr>
              <w:t xml:space="preserve">Partial dependence</w:t>
            </w:r>
          </w:p>
        </w:tc>
        <w:tc>
          <w:tcPr>
            <w:tcW w:type="dxa" w:w="3600"/>
            <w:shd w:fill="FFFFFF" w:val="clear"/>
            <w:tcMar>
              <w:top w:type="dxa" w:w="80"/>
              <w:left w:type="dxa" w:w="100"/>
              <w:bottom w:type="dxa" w:w="80"/>
              <w:right w:type="dxa" w:w="100"/>
            </w:tcMar>
            <w:vAlign w:val="center"/>
          </w:tcPr>
          <w:p>
            <w:r>
              <w:rPr>
                <w:b w:val="false"/>
                <w:bCs w:val="false"/>
                <w:color w:val="000000"/>
                <w:sz w:val="20"/>
                <w:szCs w:val="20"/>
              </w:rPr>
              <w:t xml:space="preserve">Average prediction response to a feature</w:t>
            </w:r>
          </w:p>
        </w:tc>
        <w:tc>
          <w:tcPr>
            <w:tcW w:type="dxa" w:w="3700"/>
            <w:shd w:fill="FFFFFF" w:val="clear"/>
            <w:tcMar>
              <w:top w:type="dxa" w:w="80"/>
              <w:left w:type="dxa" w:w="100"/>
              <w:bottom w:type="dxa" w:w="80"/>
              <w:right w:type="dxa" w:w="100"/>
            </w:tcMar>
            <w:vAlign w:val="center"/>
          </w:tcPr>
          <w:p>
            <w:r>
              <w:rPr>
                <w:b w:val="false"/>
                <w:bCs w:val="false"/>
                <w:color w:val="000000"/>
                <w:sz w:val="20"/>
                <w:szCs w:val="20"/>
              </w:rPr>
              <w:t xml:space="preserve">May evaluate unrealistic combinations of features</w:t>
            </w:r>
          </w:p>
        </w:tc>
      </w:tr>
      <w:tr>
        <w:tc>
          <w:tcPr>
            <w:tcW w:type="dxa" w:w="2200"/>
            <w:shd w:fill="F2F6FC" w:val="clear"/>
            <w:tcMar>
              <w:top w:type="dxa" w:w="80"/>
              <w:left w:type="dxa" w:w="100"/>
              <w:bottom w:type="dxa" w:w="80"/>
              <w:right w:type="dxa" w:w="100"/>
            </w:tcMar>
            <w:vAlign w:val="center"/>
          </w:tcPr>
          <w:p>
            <w:r>
              <w:rPr>
                <w:b w:val="false"/>
                <w:bCs w:val="false"/>
                <w:color w:val="000000"/>
                <w:sz w:val="20"/>
                <w:szCs w:val="20"/>
              </w:rPr>
              <w:t xml:space="preserve">Shapley values (SHAP)</w:t>
            </w:r>
          </w:p>
        </w:tc>
        <w:tc>
          <w:tcPr>
            <w:tcW w:type="dxa" w:w="3600"/>
            <w:shd w:fill="F2F6FC" w:val="clear"/>
            <w:tcMar>
              <w:top w:type="dxa" w:w="80"/>
              <w:left w:type="dxa" w:w="100"/>
              <w:bottom w:type="dxa" w:w="80"/>
              <w:right w:type="dxa" w:w="100"/>
            </w:tcMar>
            <w:vAlign w:val="center"/>
          </w:tcPr>
          <w:p>
            <w:r>
              <w:rPr>
                <w:b w:val="false"/>
                <w:bCs w:val="false"/>
                <w:color w:val="000000"/>
                <w:sz w:val="20"/>
                <w:szCs w:val="20"/>
              </w:rPr>
              <w:t xml:space="preserve">Additive, game-theoretic attribution per prediction</w:t>
            </w:r>
          </w:p>
        </w:tc>
        <w:tc>
          <w:tcPr>
            <w:tcW w:type="dxa" w:w="3700"/>
            <w:shd w:fill="F2F6FC" w:val="clear"/>
            <w:tcMar>
              <w:top w:type="dxa" w:w="80"/>
              <w:left w:type="dxa" w:w="100"/>
              <w:bottom w:type="dxa" w:w="80"/>
              <w:right w:type="dxa" w:w="100"/>
            </w:tcMar>
            <w:vAlign w:val="center"/>
          </w:tcPr>
          <w:p>
            <w:r>
              <w:rPr>
                <w:b w:val="false"/>
                <w:bCs w:val="false"/>
                <w:color w:val="000000"/>
                <w:sz w:val="20"/>
                <w:szCs w:val="20"/>
              </w:rPr>
              <w:t xml:space="preserve">Computationally heavier; correlated features complicate attribution</w:t>
            </w:r>
          </w:p>
        </w:tc>
      </w:tr>
      <w:tr>
        <w:tc>
          <w:tcPr>
            <w:tcW w:type="dxa" w:w="2200"/>
            <w:shd w:fill="FFFFFF" w:val="clear"/>
            <w:tcMar>
              <w:top w:type="dxa" w:w="80"/>
              <w:left w:type="dxa" w:w="100"/>
              <w:bottom w:type="dxa" w:w="80"/>
              <w:right w:type="dxa" w:w="100"/>
            </w:tcMar>
            <w:vAlign w:val="center"/>
          </w:tcPr>
          <w:p>
            <w:r>
              <w:rPr>
                <w:b w:val="false"/>
                <w:bCs w:val="false"/>
                <w:color w:val="000000"/>
                <w:sz w:val="20"/>
                <w:szCs w:val="20"/>
              </w:rPr>
              <w:t xml:space="preserve">Local explanations (LIME)</w:t>
            </w:r>
          </w:p>
        </w:tc>
        <w:tc>
          <w:tcPr>
            <w:tcW w:type="dxa" w:w="3600"/>
            <w:shd w:fill="FFFFFF" w:val="clear"/>
            <w:tcMar>
              <w:top w:type="dxa" w:w="80"/>
              <w:left w:type="dxa" w:w="100"/>
              <w:bottom w:type="dxa" w:w="80"/>
              <w:right w:type="dxa" w:w="100"/>
            </w:tcMar>
            <w:vAlign w:val="center"/>
          </w:tcPr>
          <w:p>
            <w:r>
              <w:rPr>
                <w:b w:val="false"/>
                <w:bCs w:val="false"/>
                <w:color w:val="000000"/>
                <w:sz w:val="20"/>
                <w:szCs w:val="20"/>
              </w:rPr>
              <w:t xml:space="preserve">Explains an individual prediction locally</w:t>
            </w:r>
          </w:p>
        </w:tc>
        <w:tc>
          <w:tcPr>
            <w:tcW w:type="dxa" w:w="3700"/>
            <w:shd w:fill="FFFFFF" w:val="clear"/>
            <w:tcMar>
              <w:top w:type="dxa" w:w="80"/>
              <w:left w:type="dxa" w:w="100"/>
              <w:bottom w:type="dxa" w:w="80"/>
              <w:right w:type="dxa" w:w="100"/>
            </w:tcMar>
            <w:vAlign w:val="center"/>
          </w:tcPr>
          <w:p>
            <w:r>
              <w:rPr>
                <w:b w:val="false"/>
                <w:bCs w:val="false"/>
                <w:color w:val="000000"/>
                <w:sz w:val="20"/>
                <w:szCs w:val="20"/>
              </w:rPr>
              <w:t xml:space="preserve">Local linear approximation may be unstable near decision boundaries</w:t>
            </w:r>
          </w:p>
        </w:tc>
      </w:tr>
    </w:tbl>
    <w:p>
      <w:pPr>
        <w:spacing w:after="200" w:before="60"/>
        <w:jc w:val="center"/>
      </w:pPr>
      <w:r>
        <w:rPr>
          <w:i/>
          <w:iCs/>
          <w:color w:val="595959"/>
          <w:sz w:val="18"/>
          <w:szCs w:val="18"/>
        </w:rPr>
        <w:t xml:space="preserve">Table 8.1 — Explainability techniques used across the four candidate models.</w:t>
      </w:r>
    </w:p>
    <w:p>
      <w:pPr>
        <w:pStyle w:val="Heading2"/>
        <w:spacing w:after="120" w:before="280"/>
      </w:pPr>
      <w:r>
        <w:rPr>
          <w:b/>
          <w:bCs/>
          <w:color w:val="2E5395"/>
          <w:sz w:val="25"/>
          <w:szCs w:val="25"/>
        </w:rPr>
        <w:t xml:space="preserve">8.2 Shapley-value attribution</w:t>
      </w:r>
    </w:p>
    <w:p>
      <w:pPr>
        <w:spacing w:after="160" w:line="276"/>
        <w:jc w:val="both"/>
      </w:pPr>
      <w:r>
        <w:rPr>
          <w:sz w:val="22"/>
          <w:szCs w:val="22"/>
        </w:rPr>
        <w:t xml:space="preserve">SHAP values decompose an individual prediction into an additive sum of per-feature contributions relative to a baseline (average) prediction, drawing on the cooperative-game-theory concept of a Shapley value: each feature's contribution is its average marginal effect across all possible orderings in which features could be added to the model. This gives a mathematically consistent way to explain a single Random Forest or Gradient Boosting prediction to an applicant or auditor, and the notebook cross-checks the sign and relative ranking of SHAP attributions against the corresponding Logistic Regression coefficients as an internal consistency check.</w:t>
      </w:r>
    </w:p>
    <w:p>
      <w:pPr>
        <w:pStyle w:val="Heading2"/>
        <w:spacing w:after="120" w:before="280"/>
      </w:pPr>
      <w:r>
        <w:rPr>
          <w:b/>
          <w:bCs/>
          <w:color w:val="2E5395"/>
          <w:sz w:val="25"/>
          <w:szCs w:val="25"/>
        </w:rPr>
        <w:t xml:space="preserve">8.3 Governance requirements</w:t>
      </w:r>
    </w:p>
    <w:p>
      <w:pPr>
        <w:spacing w:after="160" w:line="276"/>
        <w:jc w:val="both"/>
      </w:pPr>
      <w:r>
        <w:rPr>
          <w:sz w:val="22"/>
          <w:szCs w:val="22"/>
        </w:rPr>
        <w:t xml:space="preserve">Governance requires documented data lineage, explicit assumptions, independent validation, formal approval, access controls, version control, ongoing performance and stability monitoring, override rules for edge cases, and a defined process for adverse-action explanations to rejected applicants. A highly accurate model can still be unsuitable for deployment if it cannot meet these requirements, which is the central reason a nonlinear ensemble's discrimination advantage must be weighed against its governance cost rather than adopted automatically.</w:t>
      </w:r>
    </w:p>
    <w:p>
      <w:r>
        <w:br w:type="page"/>
      </w:r>
    </w:p>
    <w:p>
      <w:pPr>
        <w:pStyle w:val="Heading1"/>
        <w:spacing w:after="160" w:before="360"/>
      </w:pPr>
      <w:r>
        <w:rPr>
          <w:b/>
          <w:bCs/>
          <w:color w:val="1F3864"/>
          <w:sz w:val="30"/>
          <w:szCs w:val="30"/>
        </w:rPr>
        <w:t xml:space="preserve">9. Bias and Fairness</w:t>
      </w:r>
    </w:p>
    <w:p>
      <w:pPr>
        <w:spacing w:after="160" w:line="276"/>
        <w:jc w:val="both"/>
      </w:pPr>
      <w:r>
        <w:rPr>
          <w:sz w:val="22"/>
          <w:szCs w:val="22"/>
        </w:rPr>
        <w:t xml:space="preserve">Bias may enter through historical outcomes, missing credit histories, measurement error, sampling, proxy variables, labels based on past institutional decisions, or unequal access to formal credit in the first place. Removing a protected attribute from the feature set does not guarantee fairness, because other correlated variables can act as proxies for it.</w:t>
      </w:r>
    </w:p>
    <w:p>
      <w:pPr>
        <w:pStyle w:val="Heading2"/>
        <w:spacing w:after="120" w:before="280"/>
      </w:pPr>
      <w:r>
        <w:rPr>
          <w:b/>
          <w:bCs/>
          <w:color w:val="2E5395"/>
          <w:sz w:val="25"/>
          <w:szCs w:val="25"/>
        </w:rPr>
        <w:t xml:space="preserve">9.1 Formal group-fairness criteria</w:t>
      </w:r>
    </w:p>
    <w:p>
      <w:pPr>
        <w:spacing w:after="160" w:line="276"/>
        <w:jc w:val="both"/>
      </w:pPr>
      <w:r>
        <w:rPr>
          <w:sz w:val="22"/>
          <w:szCs w:val="22"/>
        </w:rPr>
        <w:t xml:space="preserve">The notebook reports three standard, and generally mutually incompatible, group-fairness criteria for each protected or quasi-protected grouping (age band, personal-status coding):</w:t>
      </w:r>
    </w:p>
    <w:p>
      <w:pPr>
        <w:spacing w:after="160" w:before="120"/>
        <w:jc w:val="center"/>
      </w:pPr>
      <w:r>
        <w:rPr>
          <w:rFonts w:ascii="Cambria Math" w:cs="Cambria Math" w:eastAsia="Cambria Math" w:hAnsi="Cambria Math"/>
          <w:i/>
          <w:iCs/>
          <w:sz w:val="22"/>
          <w:szCs w:val="22"/>
        </w:rPr>
        <w:t xml:space="preserve">Demographic parity:  P(ŷ=1 | A=a) = P(ŷ=1 | A=b)  for all groups a, b</w:t>
      </w:r>
    </w:p>
    <w:p>
      <w:pPr>
        <w:spacing w:after="160" w:before="120"/>
        <w:jc w:val="center"/>
      </w:pPr>
      <w:r>
        <w:rPr>
          <w:rFonts w:ascii="Cambria Math" w:cs="Cambria Math" w:eastAsia="Cambria Math" w:hAnsi="Cambria Math"/>
          <w:i/>
          <w:iCs/>
          <w:sz w:val="22"/>
          <w:szCs w:val="22"/>
        </w:rPr>
        <w:t xml:space="preserve">Equal opportunity:  P(ŷ=1 | y=1, A=a) = P(ŷ=1 | y=1, A=b)</w:t>
      </w:r>
    </w:p>
    <w:p>
      <w:pPr>
        <w:spacing w:after="160" w:before="120"/>
        <w:jc w:val="center"/>
      </w:pPr>
      <w:r>
        <w:rPr>
          <w:rFonts w:ascii="Cambria Math" w:cs="Cambria Math" w:eastAsia="Cambria Math" w:hAnsi="Cambria Math"/>
          <w:i/>
          <w:iCs/>
          <w:sz w:val="22"/>
          <w:szCs w:val="22"/>
        </w:rPr>
        <w:t xml:space="preserve">Equalized odds:  P(ŷ=1 | y=k, A=a) = P(ŷ=1 | y=k, A=b)  for k ∈ {0,1}</w:t>
      </w:r>
    </w:p>
    <w:p>
      <w:pPr>
        <w:spacing w:after="160" w:line="276"/>
        <w:jc w:val="both"/>
      </w:pPr>
      <w:r>
        <w:rPr>
          <w:sz w:val="22"/>
          <w:szCs w:val="22"/>
        </w:rPr>
        <w:t xml:space="preserve">Demographic parity compares raw approval rates; equal opportunity compares true-positive rates (the share of genuinely creditworthy applicants who are approved) across groups; and equalized odds additionally requires false-positive rates to match. As Hardt, Price and Srebro showed, a classifier can satisfy at most one of these criteria exactly whenever base default rates differ across groups, so the notebook reports all three rather than optimising for a single definition, and treats any observed gap as a starting point for investigation rather than a verdict.</w:t>
      </w:r>
    </w:p>
    <w:p>
      <w:pPr>
        <w:pStyle w:val="Heading2"/>
        <w:spacing w:after="120" w:before="280"/>
      </w:pPr>
      <w:r>
        <w:rPr>
          <w:b/>
          <w:bCs/>
          <w:color w:val="2E5395"/>
          <w:sz w:val="25"/>
          <w:szCs w:val="25"/>
        </w:rPr>
        <w:t xml:space="preserve">9.2 Uncertainty in subgroup estimates</w:t>
      </w:r>
    </w:p>
    <w:p>
      <w:pPr>
        <w:spacing w:after="160" w:line="276"/>
        <w:jc w:val="both"/>
      </w:pPr>
      <w:r>
        <w:rPr>
          <w:sz w:val="22"/>
          <w:szCs w:val="22"/>
        </w:rPr>
        <w:t xml:space="preserve">With only 1,000 total observations, some age-band and personal-status subgroups contain very few applicants, so a raw difference in approval or error rates between groups can easily reflect sampling noise rather than a systematic pattern. The notebook therefore reports a Wilson score confidence interval around every subgroup proportion:</w:t>
      </w:r>
    </w:p>
    <w:p>
      <w:pPr>
        <w:spacing w:after="160" w:before="120"/>
        <w:jc w:val="center"/>
      </w:pPr>
      <w:r>
        <w:rPr>
          <w:rFonts w:ascii="Cambria Math" w:cs="Cambria Math" w:eastAsia="Cambria Math" w:hAnsi="Cambria Math"/>
          <w:i/>
          <w:iCs/>
          <w:sz w:val="22"/>
          <w:szCs w:val="22"/>
        </w:rPr>
        <w:t xml:space="preserve">CI = ( p̂ + z²/2n ± z·√(p̂(1−p̂)/n + z²/4n²) ) / (1 + z²/n)</w:t>
      </w:r>
    </w:p>
    <w:p>
      <w:pPr>
        <w:spacing w:after="160" w:line="276"/>
        <w:jc w:val="both"/>
      </w:pPr>
      <w:r>
        <w:rPr>
          <w:sz w:val="22"/>
          <w:szCs w:val="22"/>
        </w:rPr>
        <w:t xml:space="preserve">and flags any subgroup comparison where the confidence intervals overlap as statistically indistinguishable from parity, rather than reporting only a point estimate that could overstate the apparent disparity.</w:t>
      </w:r>
    </w:p>
    <w:p>
      <w:pPr>
        <w:pStyle w:val="Heading2"/>
        <w:spacing w:after="120" w:before="280"/>
      </w:pPr>
      <w:r>
        <w:rPr>
          <w:b/>
          <w:bCs/>
          <w:color w:val="2E5395"/>
          <w:sz w:val="25"/>
          <w:szCs w:val="25"/>
        </w:rPr>
        <w:t xml:space="preserve">9.3 Fairness interventions</w:t>
      </w:r>
    </w:p>
    <w:p>
      <w:pPr>
        <w:pStyle w:val="ListParagraph"/>
        <w:numPr>
          <w:ilvl w:val="0"/>
          <w:numId w:val="2"/>
        </w:numPr>
        <w:spacing w:after="80"/>
      </w:pPr>
      <w:r>
        <w:rPr>
          <w:sz w:val="22"/>
          <w:szCs w:val="22"/>
        </w:rPr>
        <w:t xml:space="preserve">Improve data coverage for thin-file and new-to-credit borrowers rather than only adjusting the model after the fact.</w:t>
      </w:r>
    </w:p>
    <w:p>
      <w:pPr>
        <w:pStyle w:val="ListParagraph"/>
        <w:numPr>
          <w:ilvl w:val="0"/>
          <w:numId w:val="2"/>
        </w:numPr>
        <w:spacing w:after="80"/>
      </w:pPr>
      <w:r>
        <w:rPr>
          <w:sz w:val="22"/>
          <w:szCs w:val="22"/>
        </w:rPr>
        <w:t xml:space="preserve">Audit labels, proxies, and missingness patterns before modelling, not only after a disparity is observed.</w:t>
      </w:r>
    </w:p>
    <w:p>
      <w:pPr>
        <w:pStyle w:val="ListParagraph"/>
        <w:numPr>
          <w:ilvl w:val="0"/>
          <w:numId w:val="2"/>
        </w:numPr>
        <w:spacing w:after="80"/>
      </w:pPr>
      <w:r>
        <w:rPr>
          <w:sz w:val="22"/>
          <w:szCs w:val="22"/>
        </w:rPr>
        <w:t xml:space="preserve">Compare subgroup calibration and error rates with uncertainty intervals, not point estimates alone.</w:t>
      </w:r>
    </w:p>
    <w:p>
      <w:pPr>
        <w:pStyle w:val="ListParagraph"/>
        <w:numPr>
          <w:ilvl w:val="0"/>
          <w:numId w:val="2"/>
        </w:numPr>
        <w:spacing w:after="80"/>
      </w:pPr>
      <w:r>
        <w:rPr>
          <w:sz w:val="22"/>
          <w:szCs w:val="22"/>
        </w:rPr>
        <w:t xml:space="preserve">Require human review for borderline and exceptional cases rather than a fully automated cutoff.</w:t>
      </w:r>
    </w:p>
    <w:p>
      <w:pPr>
        <w:pStyle w:val="ListParagraph"/>
        <w:numPr>
          <w:ilvl w:val="0"/>
          <w:numId w:val="2"/>
        </w:numPr>
        <w:spacing w:after="80"/>
      </w:pPr>
      <w:r>
        <w:rPr>
          <w:sz w:val="22"/>
          <w:szCs w:val="22"/>
        </w:rPr>
        <w:t xml:space="preserve">Provide clear adverse-action explanations and correction channels to borrowers.</w:t>
      </w:r>
    </w:p>
    <w:p>
      <w:pPr>
        <w:pStyle w:val="ListParagraph"/>
        <w:numPr>
          <w:ilvl w:val="0"/>
          <w:numId w:val="2"/>
        </w:numPr>
        <w:spacing w:after="80"/>
      </w:pPr>
      <w:r>
        <w:rPr>
          <w:sz w:val="22"/>
          <w:szCs w:val="22"/>
        </w:rPr>
        <w:t xml:space="preserve">Monitor deployed models on an ongoing basis, since disparities can emerge or widen over time even without any model change, as the applicant population drifts.</w:t>
      </w:r>
    </w:p>
    <w:p>
      <w:r>
        <w:br w:type="page"/>
      </w:r>
    </w:p>
    <w:p>
      <w:pPr>
        <w:pStyle w:val="Heading1"/>
        <w:spacing w:after="160" w:before="360"/>
      </w:pPr>
      <w:r>
        <w:rPr>
          <w:b/>
          <w:bCs/>
          <w:color w:val="1F3864"/>
          <w:sz w:val="30"/>
          <w:szCs w:val="30"/>
        </w:rPr>
        <w:t xml:space="preserve">10. Results Protocol</w:t>
      </w:r>
    </w:p>
    <w:p>
      <w:pPr>
        <w:spacing w:after="160" w:line="276"/>
        <w:jc w:val="both"/>
      </w:pPr>
      <w:r>
        <w:rPr>
          <w:sz w:val="22"/>
          <w:szCs w:val="22"/>
        </w:rPr>
        <w:t xml:space="preserve">The attached notebook produces the final empirical results. The following table defines how the research conclusion must be written after execution, so that the reporting cannot be adjusted after the fact to favour a particular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Question</w:t>
            </w:r>
          </w:p>
        </w:tc>
        <w:tc>
          <w:tcPr>
            <w:tcW w:type="dxa" w:w="6900"/>
            <w:shd w:fill="1F3864" w:val="clear"/>
            <w:tcMar>
              <w:top w:type="dxa" w:w="80"/>
              <w:left w:type="dxa" w:w="100"/>
              <w:bottom w:type="dxa" w:w="80"/>
              <w:right w:type="dxa" w:w="100"/>
            </w:tcMar>
            <w:vAlign w:val="center"/>
          </w:tcPr>
          <w:p>
            <w:r>
              <w:rPr>
                <w:b/>
                <w:bCs/>
                <w:color w:val="FFFFFF"/>
                <w:sz w:val="20"/>
                <w:szCs w:val="20"/>
              </w:rPr>
              <w:t xml:space="preserve">Evidence</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Best ranker?</w:t>
            </w:r>
          </w:p>
        </w:tc>
        <w:tc>
          <w:tcPr>
            <w:tcW w:type="dxa" w:w="6900"/>
            <w:shd w:fill="FFFFFF" w:val="clear"/>
            <w:tcMar>
              <w:top w:type="dxa" w:w="80"/>
              <w:left w:type="dxa" w:w="100"/>
              <w:bottom w:type="dxa" w:w="80"/>
              <w:right w:type="dxa" w:w="100"/>
            </w:tcMar>
            <w:vAlign w:val="center"/>
          </w:tcPr>
          <w:p>
            <w:r>
              <w:rPr>
                <w:b w:val="false"/>
                <w:bCs w:val="false"/>
                <w:color w:val="000000"/>
                <w:sz w:val="20"/>
                <w:szCs w:val="20"/>
              </w:rPr>
              <w:t xml:space="preserve">Highest final-test ROC-AUC and KS, with bootstrap confidence intervals</w:t>
            </w:r>
          </w:p>
        </w:tc>
      </w:tr>
      <w:tr>
        <w:tc>
          <w:tcPr>
            <w:tcW w:type="dxa" w:w="2600"/>
            <w:shd w:fill="F2F6FC" w:val="clear"/>
            <w:tcMar>
              <w:top w:type="dxa" w:w="80"/>
              <w:left w:type="dxa" w:w="100"/>
              <w:bottom w:type="dxa" w:w="80"/>
              <w:right w:type="dxa" w:w="100"/>
            </w:tcMar>
            <w:vAlign w:val="center"/>
          </w:tcPr>
          <w:p>
            <w:r>
              <w:rPr>
                <w:b w:val="false"/>
                <w:bCs w:val="false"/>
                <w:color w:val="000000"/>
                <w:sz w:val="20"/>
                <w:szCs w:val="20"/>
              </w:rPr>
              <w:t xml:space="preserve">Best probability model?</w:t>
            </w:r>
          </w:p>
        </w:tc>
        <w:tc>
          <w:tcPr>
            <w:tcW w:type="dxa" w:w="6900"/>
            <w:shd w:fill="F2F6FC" w:val="clear"/>
            <w:tcMar>
              <w:top w:type="dxa" w:w="80"/>
              <w:left w:type="dxa" w:w="100"/>
              <w:bottom w:type="dxa" w:w="80"/>
              <w:right w:type="dxa" w:w="100"/>
            </w:tcMar>
            <w:vAlign w:val="center"/>
          </w:tcPr>
          <w:p>
            <w:r>
              <w:rPr>
                <w:b w:val="false"/>
                <w:bCs w:val="false"/>
                <w:color w:val="000000"/>
                <w:sz w:val="20"/>
                <w:szCs w:val="20"/>
              </w:rPr>
              <w:t xml:space="preserve">Lowest final-test Brier score, best Hosmer–Lemeshow fit and reliability-diagram alignment</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Best lending decision?</w:t>
            </w:r>
          </w:p>
        </w:tc>
        <w:tc>
          <w:tcPr>
            <w:tcW w:type="dxa" w:w="6900"/>
            <w:shd w:fill="FFFFFF" w:val="clear"/>
            <w:tcMar>
              <w:top w:type="dxa" w:w="80"/>
              <w:left w:type="dxa" w:w="100"/>
              <w:bottom w:type="dxa" w:w="80"/>
              <w:right w:type="dxa" w:w="100"/>
            </w:tcMar>
            <w:vAlign w:val="center"/>
          </w:tcPr>
          <w:p>
            <w:r>
              <w:rPr>
                <w:b w:val="false"/>
                <w:bCs w:val="false"/>
                <w:color w:val="000000"/>
                <w:sz w:val="20"/>
                <w:szCs w:val="20"/>
              </w:rPr>
              <w:t xml:space="preserve">Lowest asymmetric test cost using the validation-selected, frozen threshold</w:t>
            </w:r>
          </w:p>
        </w:tc>
      </w:tr>
      <w:tr>
        <w:tc>
          <w:tcPr>
            <w:tcW w:type="dxa" w:w="2600"/>
            <w:shd w:fill="F2F6FC" w:val="clear"/>
            <w:tcMar>
              <w:top w:type="dxa" w:w="80"/>
              <w:left w:type="dxa" w:w="100"/>
              <w:bottom w:type="dxa" w:w="80"/>
              <w:right w:type="dxa" w:w="100"/>
            </w:tcMar>
            <w:vAlign w:val="center"/>
          </w:tcPr>
          <w:p>
            <w:r>
              <w:rPr>
                <w:b w:val="false"/>
                <w:bCs w:val="false"/>
                <w:color w:val="000000"/>
                <w:sz w:val="20"/>
                <w:szCs w:val="20"/>
              </w:rPr>
              <w:t xml:space="preserve">Most stable?</w:t>
            </w:r>
          </w:p>
        </w:tc>
        <w:tc>
          <w:tcPr>
            <w:tcW w:type="dxa" w:w="6900"/>
            <w:shd w:fill="F2F6FC" w:val="clear"/>
            <w:tcMar>
              <w:top w:type="dxa" w:w="80"/>
              <w:left w:type="dxa" w:w="100"/>
              <w:bottom w:type="dxa" w:w="80"/>
              <w:right w:type="dxa" w:w="100"/>
            </w:tcMar>
            <w:vAlign w:val="center"/>
          </w:tcPr>
          <w:p>
            <w:r>
              <w:rPr>
                <w:b w:val="false"/>
                <w:bCs w:val="false"/>
                <w:color w:val="000000"/>
                <w:sz w:val="20"/>
                <w:szCs w:val="20"/>
              </w:rPr>
              <w:t xml:space="preserve">Smallest standard deviation of AUC and cost across the five outer cross-validation folds</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Worth the complexity?</w:t>
            </w:r>
          </w:p>
        </w:tc>
        <w:tc>
          <w:tcPr>
            <w:tcW w:type="dxa" w:w="6900"/>
            <w:shd w:fill="FFFFFF" w:val="clear"/>
            <w:tcMar>
              <w:top w:type="dxa" w:w="80"/>
              <w:left w:type="dxa" w:w="100"/>
              <w:bottom w:type="dxa" w:w="80"/>
              <w:right w:type="dxa" w:w="100"/>
            </w:tcMar>
            <w:vAlign w:val="center"/>
          </w:tcPr>
          <w:p>
            <w:r>
              <w:rPr>
                <w:b w:val="false"/>
                <w:bCs w:val="false"/>
                <w:color w:val="000000"/>
                <w:sz w:val="20"/>
                <w:szCs w:val="20"/>
              </w:rPr>
              <w:t xml:space="preserve">Size and stability of any improvement over Logistic Regression, net of governance cost</w:t>
            </w:r>
          </w:p>
        </w:tc>
      </w:tr>
      <w:tr>
        <w:tc>
          <w:tcPr>
            <w:tcW w:type="dxa" w:w="2600"/>
            <w:shd w:fill="F2F6FC" w:val="clear"/>
            <w:tcMar>
              <w:top w:type="dxa" w:w="80"/>
              <w:left w:type="dxa" w:w="100"/>
              <w:bottom w:type="dxa" w:w="80"/>
              <w:right w:type="dxa" w:w="100"/>
            </w:tcMar>
            <w:vAlign w:val="center"/>
          </w:tcPr>
          <w:p>
            <w:r>
              <w:rPr>
                <w:b w:val="false"/>
                <w:bCs w:val="false"/>
                <w:color w:val="000000"/>
                <w:sz w:val="20"/>
                <w:szCs w:val="20"/>
              </w:rPr>
              <w:t xml:space="preserve">Fair across groups?</w:t>
            </w:r>
          </w:p>
        </w:tc>
        <w:tc>
          <w:tcPr>
            <w:tcW w:type="dxa" w:w="6900"/>
            <w:shd w:fill="F2F6FC" w:val="clear"/>
            <w:tcMar>
              <w:top w:type="dxa" w:w="80"/>
              <w:left w:type="dxa" w:w="100"/>
              <w:bottom w:type="dxa" w:w="80"/>
              <w:right w:type="dxa" w:w="100"/>
            </w:tcMar>
            <w:vAlign w:val="center"/>
          </w:tcPr>
          <w:p>
            <w:r>
              <w:rPr>
                <w:b w:val="false"/>
                <w:bCs w:val="false"/>
                <w:color w:val="000000"/>
                <w:sz w:val="20"/>
                <w:szCs w:val="20"/>
              </w:rPr>
              <w:t xml:space="preserve">Subgroup approval and error-rate diagnostics, reported with uncertainty intervals</w:t>
            </w:r>
          </w:p>
        </w:tc>
      </w:tr>
    </w:tbl>
    <w:p>
      <w:pPr>
        <w:spacing w:after="200" w:before="60"/>
        <w:jc w:val="center"/>
      </w:pPr>
      <w:r>
        <w:rPr>
          <w:i/>
          <w:iCs/>
          <w:color w:val="595959"/>
          <w:sz w:val="18"/>
          <w:szCs w:val="18"/>
        </w:rPr>
        <w:t xml:space="preserve">Table 10.1 — Pre-registered evidence standard for each research sub-question.</w:t>
      </w:r>
    </w:p>
    <w:p>
      <w:pPr>
        <w:pStyle w:val="Heading2"/>
        <w:spacing w:after="120" w:before="280"/>
      </w:pPr>
      <w:r>
        <w:rPr>
          <w:b/>
          <w:bCs/>
          <w:color w:val="2E5395"/>
          <w:sz w:val="25"/>
          <w:szCs w:val="25"/>
        </w:rPr>
        <w:t xml:space="preserve">10.1 Reporting rule</w:t>
      </w:r>
    </w:p>
    <w:p>
      <w:pPr>
        <w:spacing w:after="160" w:line="276"/>
        <w:jc w:val="both"/>
      </w:pPr>
      <w:r>
        <w:rPr>
          <w:sz w:val="22"/>
          <w:szCs w:val="22"/>
        </w:rPr>
        <w:t xml:space="preserve">Do not choose a model from a single metric. Report the complete comparison table across all four models and all metrics, state the decision threshold used for each model, disclose the cost ratio underlying that threshold, and explicitly discuss whether the nonlinear model's gain, if any, is large enough and stable enough across folds to justify its additional governance burden.</w:t>
      </w:r>
    </w:p>
    <w:p>
      <w:pPr>
        <w:pStyle w:val="Heading2"/>
        <w:spacing w:after="120" w:before="280"/>
      </w:pPr>
      <w:r>
        <w:rPr>
          <w:b/>
          <w:bCs/>
          <w:color w:val="2E5395"/>
          <w:sz w:val="25"/>
          <w:szCs w:val="25"/>
        </w:rPr>
        <w:t xml:space="preserve">10.2 Integrity note</w:t>
      </w:r>
    </w:p>
    <w:p>
      <w:pPr>
        <w:spacing w:after="160" w:line="276"/>
        <w:jc w:val="both"/>
      </w:pPr>
      <w:r>
        <w:rPr>
          <w:sz w:val="22"/>
          <w:szCs w:val="22"/>
        </w:rPr>
        <w:t xml:space="preserve">No numerical result is claimed in this report before execution. This avoids presenting invented performance values and keeps the report falsifiable: every number in the final version must be traceable to a specific cell in the notebook's exported CSV tables. Once the notebook is run, its exported tables and figures are to be inserted into a final visual revision of this report, replacing this protocol section's placeholders with the actual results while keeping the evidence standard defined above unchanged.</w:t>
      </w:r>
    </w:p>
    <w:p>
      <w:r>
        <w:br w:type="page"/>
      </w:r>
    </w:p>
    <w:p>
      <w:pPr>
        <w:pStyle w:val="Heading1"/>
        <w:spacing w:after="160" w:before="360"/>
      </w:pPr>
      <w:r>
        <w:rPr>
          <w:b/>
          <w:bCs/>
          <w:color w:val="1F3864"/>
          <w:sz w:val="30"/>
          <w:szCs w:val="30"/>
        </w:rPr>
        <w:t xml:space="preserve">11. Limitations and Future Work</w:t>
      </w:r>
    </w:p>
    <w:p>
      <w:pPr>
        <w:pStyle w:val="Heading2"/>
        <w:spacing w:after="120" w:before="280"/>
      </w:pPr>
      <w:r>
        <w:rPr>
          <w:b/>
          <w:bCs/>
          <w:color w:val="2E5395"/>
          <w:sz w:val="25"/>
          <w:szCs w:val="25"/>
        </w:rPr>
        <w:t xml:space="preserve">11.1 Limitations</w:t>
      </w:r>
    </w:p>
    <w:p>
      <w:pPr>
        <w:pStyle w:val="ListParagraph"/>
        <w:numPr>
          <w:ilvl w:val="0"/>
          <w:numId w:val="2"/>
        </w:numPr>
        <w:spacing w:after="80"/>
      </w:pPr>
      <w:r>
        <w:rPr>
          <w:sz w:val="22"/>
          <w:szCs w:val="22"/>
        </w:rPr>
        <w:t xml:space="preserve">External validity: historical German applicants from 1994 cannot represent contemporary Indian consumers, income levels, or credit products.</w:t>
      </w:r>
    </w:p>
    <w:p>
      <w:pPr>
        <w:pStyle w:val="ListParagraph"/>
        <w:numPr>
          <w:ilvl w:val="0"/>
          <w:numId w:val="2"/>
        </w:numPr>
        <w:spacing w:after="80"/>
      </w:pPr>
      <w:r>
        <w:rPr>
          <w:sz w:val="22"/>
          <w:szCs w:val="22"/>
        </w:rPr>
        <w:t xml:space="preserve">Sample size: one thousand observations limit model complexity, the precision of subgroup estimates, and the power of the nested cross-validation folds.</w:t>
      </w:r>
    </w:p>
    <w:p>
      <w:pPr>
        <w:pStyle w:val="ListParagraph"/>
        <w:numPr>
          <w:ilvl w:val="0"/>
          <w:numId w:val="2"/>
        </w:numPr>
        <w:spacing w:after="80"/>
      </w:pPr>
      <w:r>
        <w:rPr>
          <w:sz w:val="22"/>
          <w:szCs w:val="22"/>
        </w:rPr>
        <w:t xml:space="preserve">Target construction: the good/bad label may reflect historical policy and measurement choices rather than a clean definition of default.</w:t>
      </w:r>
    </w:p>
    <w:p>
      <w:pPr>
        <w:pStyle w:val="ListParagraph"/>
        <w:numPr>
          <w:ilvl w:val="0"/>
          <w:numId w:val="2"/>
        </w:numPr>
        <w:spacing w:after="80"/>
      </w:pPr>
      <w:r>
        <w:rPr>
          <w:sz w:val="22"/>
          <w:szCs w:val="22"/>
        </w:rPr>
        <w:t xml:space="preserve">Sensitive attributes: the available demographic coding is incomplete, dated, and unsuitable for any legal conclusion about discrimination.</w:t>
      </w:r>
    </w:p>
    <w:p>
      <w:pPr>
        <w:pStyle w:val="ListParagraph"/>
        <w:numPr>
          <w:ilvl w:val="0"/>
          <w:numId w:val="2"/>
        </w:numPr>
        <w:spacing w:after="80"/>
      </w:pPr>
      <w:r>
        <w:rPr>
          <w:sz w:val="22"/>
          <w:szCs w:val="22"/>
        </w:rPr>
        <w:t xml:space="preserve">Temporal validation: the data do not support a genuine out-of-time, cross-credit-cycle test, since all observations come from a single period.</w:t>
      </w:r>
    </w:p>
    <w:p>
      <w:pPr>
        <w:pStyle w:val="ListParagraph"/>
        <w:numPr>
          <w:ilvl w:val="0"/>
          <w:numId w:val="2"/>
        </w:numPr>
        <w:spacing w:after="80"/>
      </w:pPr>
      <w:r>
        <w:rPr>
          <w:sz w:val="22"/>
          <w:szCs w:val="22"/>
        </w:rPr>
        <w:t xml:space="preserve">Profit model: the five-to-one cost matrix is a simplification of real exposure-at-default and recovery economics, which vary by loan type, collateral, and vintage.</w:t>
      </w:r>
    </w:p>
    <w:p>
      <w:pPr>
        <w:pStyle w:val="ListParagraph"/>
        <w:numPr>
          <w:ilvl w:val="0"/>
          <w:numId w:val="2"/>
        </w:numPr>
        <w:spacing w:after="80"/>
      </w:pPr>
      <w:r>
        <w:rPr>
          <w:sz w:val="22"/>
          <w:szCs w:val="22"/>
        </w:rPr>
        <w:t xml:space="preserve">Single-dataset scope: results on one benchmark cannot establish that a finding generalises across lending products or geographies.</w:t>
      </w:r>
    </w:p>
    <w:p>
      <w:pPr>
        <w:pStyle w:val="Heading2"/>
        <w:spacing w:after="120" w:before="280"/>
      </w:pPr>
      <w:r>
        <w:rPr>
          <w:b/>
          <w:bCs/>
          <w:color w:val="2E5395"/>
          <w:sz w:val="25"/>
          <w:szCs w:val="25"/>
        </w:rPr>
        <w:t xml:space="preserve">11.2 Future work</w:t>
      </w:r>
    </w:p>
    <w:p>
      <w:pPr>
        <w:spacing w:after="160" w:line="276"/>
        <w:jc w:val="both"/>
      </w:pPr>
      <w:r>
        <w:rPr>
          <w:sz w:val="22"/>
          <w:szCs w:val="22"/>
        </w:rPr>
        <w:t xml:space="preserve">A stronger extension would use anonymised Indian lender data with application dates and defined performance windows, collected and shared under the RBI's 2025 Master Directions described in Section 2.2. Models should be evaluated out of time across credit-cycle regimes, ideally spanning at least one downturn. Expected loss could be decomposed into probability of default, loss given default, and exposure at default, rather than relying on a single fixed cost ratio. Reject inference (correcting for the fact that rejected applicants have no observed outcome), thin-file modelling techniques, calibrated predictive uncertainty, population-stability indices for ongoing monitoring, and formal statistical fairness testing with multiple-comparison correction across subgroups could all be added in a subsequent iteration of this project.</w:t>
      </w:r>
    </w:p>
    <w:p>
      <w:r>
        <w:br w:type="page"/>
      </w:r>
    </w:p>
    <w:p>
      <w:pPr>
        <w:pStyle w:val="Heading1"/>
        <w:spacing w:after="160" w:before="360"/>
      </w:pPr>
      <w:r>
        <w:rPr>
          <w:b/>
          <w:bCs/>
          <w:color w:val="1F3864"/>
          <w:sz w:val="30"/>
          <w:szCs w:val="30"/>
        </w:rPr>
        <w:t xml:space="preserve">12. Conclusion</w:t>
      </w:r>
    </w:p>
    <w:p>
      <w:pPr>
        <w:spacing w:after="160" w:line="276"/>
        <w:jc w:val="both"/>
      </w:pPr>
      <w:r>
        <w:rPr>
          <w:sz w:val="22"/>
          <w:szCs w:val="22"/>
        </w:rPr>
        <w:t xml:space="preserve">Credit scoring is not simply a competition for the highest accuracy. A usable model must rank risk correctly, produce reliable probabilities, translate those probabilities into economically sensible decisions, remain understandable to reviewers and borrowers, and avoid unexplained subgroup harm. Optimising for ROC-AUC alone answers only the first of these five requirements.</w:t>
      </w:r>
    </w:p>
    <w:p>
      <w:pPr>
        <w:spacing w:after="160" w:line="276"/>
        <w:jc w:val="both"/>
      </w:pPr>
      <w:r>
        <w:rPr>
          <w:sz w:val="22"/>
          <w:szCs w:val="22"/>
        </w:rPr>
        <w:t xml:space="preserve">This expanded research framework compares transparent and nonlinear models under all five requirements jointly, using closed-form metric definitions, a nested cross-validation protocol, an explicit cost-minimising threshold rule, and formal fairness diagnostics with uncertainty bands. Logistic Regression offers a strong, auditable baseline whose coefficients and Weight-of-Evidence structure remain explainable end to end. Tree ensembles may capture additional nonlinear structure, but any improvement must be demonstrated on untouched data, shown to be stable across resampled folds, and weighed against the calibration, monitoring, and governance costs documented in Sections 6 through 9.</w:t>
      </w:r>
    </w:p>
    <w:p>
      <w:pPr>
        <w:spacing w:after="160" w:line="276"/>
        <w:jc w:val="both"/>
      </w:pPr>
      <w:r>
        <w:rPr>
          <w:sz w:val="22"/>
          <w:szCs w:val="22"/>
        </w:rPr>
        <w:t xml:space="preserve">For Indian financial institutions, the appropriate conclusion is not to copy a foreign benchmark model. It is to adopt the evaluation discipline demonstrated here: representative data collected under the applicable RBI directions, leakage-safe validation, cost-sensitive decision rules, layered explainability, formal fairness review with statistical uncertainty, credit-cycle stress testing, and continuous post-deployment monitoring.</w:t>
      </w:r>
    </w:p>
    <w:p>
      <w:pPr>
        <w:pStyle w:val="Heading2"/>
        <w:spacing w:after="120" w:before="280"/>
      </w:pPr>
      <w:r>
        <w:rPr>
          <w:b/>
          <w:bCs/>
          <w:color w:val="2E5395"/>
          <w:sz w:val="25"/>
          <w:szCs w:val="25"/>
        </w:rPr>
        <w:t xml:space="preserve">Deliverables</w:t>
      </w:r>
    </w:p>
    <w:p>
      <w:pPr>
        <w:pStyle w:val="ListParagraph"/>
        <w:numPr>
          <w:ilvl w:val="0"/>
          <w:numId w:val="2"/>
        </w:numPr>
        <w:spacing w:after="80"/>
      </w:pPr>
      <w:r>
        <w:rPr>
          <w:sz w:val="22"/>
          <w:szCs w:val="22"/>
        </w:rPr>
        <w:t xml:space="preserve">Submission-ready, expanded research report (this document).</w:t>
      </w:r>
    </w:p>
    <w:p>
      <w:pPr>
        <w:pStyle w:val="ListParagraph"/>
        <w:numPr>
          <w:ilvl w:val="0"/>
          <w:numId w:val="2"/>
        </w:numPr>
        <w:spacing w:after="80"/>
      </w:pPr>
      <w:r>
        <w:rPr>
          <w:sz w:val="22"/>
          <w:szCs w:val="22"/>
        </w:rPr>
        <w:t xml:space="preserve">Executable Jupyter/Colab notebook implementing the full pipeline described in Sections 5–10.</w:t>
      </w:r>
    </w:p>
    <w:p>
      <w:pPr>
        <w:pStyle w:val="ListParagraph"/>
        <w:numPr>
          <w:ilvl w:val="0"/>
          <w:numId w:val="2"/>
        </w:numPr>
        <w:spacing w:after="80"/>
      </w:pPr>
      <w:r>
        <w:rPr>
          <w:sz w:val="22"/>
          <w:szCs w:val="22"/>
        </w:rPr>
        <w:t xml:space="preserve">README and research-methodology note, including the nested cross-validation and fairness-testing protocol.</w:t>
      </w:r>
    </w:p>
    <w:p>
      <w:pPr>
        <w:pStyle w:val="ListParagraph"/>
        <w:numPr>
          <w:ilvl w:val="0"/>
          <w:numId w:val="2"/>
        </w:numPr>
        <w:spacing w:after="80"/>
      </w:pPr>
      <w:r>
        <w:rPr>
          <w:sz w:val="22"/>
          <w:szCs w:val="22"/>
        </w:rPr>
        <w:t xml:space="preserve">Six-minute presentation script.</w:t>
      </w:r>
    </w:p>
    <w:p>
      <w:pPr>
        <w:pStyle w:val="ListParagraph"/>
        <w:numPr>
          <w:ilvl w:val="0"/>
          <w:numId w:val="2"/>
        </w:numPr>
        <w:spacing w:after="80"/>
      </w:pPr>
      <w:r>
        <w:rPr>
          <w:sz w:val="22"/>
          <w:szCs w:val="22"/>
        </w:rPr>
        <w:t xml:space="preserve">Submission and access checklist.</w:t>
      </w:r>
    </w:p>
    <w:p>
      <w:r>
        <w:br w:type="page"/>
      </w:r>
    </w:p>
    <w:p>
      <w:pPr>
        <w:pStyle w:val="Heading1"/>
        <w:spacing w:after="160" w:before="360"/>
      </w:pPr>
      <w:r>
        <w:rPr>
          <w:b/>
          <w:bCs/>
          <w:color w:val="1F3864"/>
          <w:sz w:val="30"/>
          <w:szCs w:val="30"/>
        </w:rPr>
        <w:t xml:space="preserve">References</w:t>
      </w:r>
    </w:p>
    <w:p>
      <w:pPr>
        <w:spacing w:after="160" w:line="276"/>
        <w:jc w:val="both"/>
      </w:pPr>
      <w:r>
        <w:rPr>
          <w:sz w:val="22"/>
          <w:szCs w:val="22"/>
        </w:rPr>
        <w:t xml:space="preserve">1. UCI Machine Learning Repository. Statlog (German Credit Data). Dataset donated by Hans Hofmann, 1994.</w:t>
      </w:r>
    </w:p>
    <w:p>
      <w:pPr>
        <w:spacing w:after="160" w:line="276"/>
        <w:jc w:val="both"/>
      </w:pPr>
      <w:r>
        <w:rPr>
          <w:sz w:val="22"/>
          <w:szCs w:val="22"/>
        </w:rPr>
        <w:t xml:space="preserve">2. Hand, D. J., and Henley, W. E. (1997). Statistical classification methods in consumer credit scoring: a review. Journal of the Royal Statistical Society: Series A, 160(3), 523–541.</w:t>
      </w:r>
    </w:p>
    <w:p>
      <w:pPr>
        <w:spacing w:after="160" w:line="276"/>
        <w:jc w:val="both"/>
      </w:pPr>
      <w:r>
        <w:rPr>
          <w:sz w:val="22"/>
          <w:szCs w:val="22"/>
        </w:rPr>
        <w:t xml:space="preserve">3. Lessmann, S., Baesens, B., Seow, H.-V., and Thomas, L. C. (2015). Benchmarking state-of-the-art classification algorithms for credit scoring: An update of research. European Journal of Operational Research, 247(1), 124–136.</w:t>
      </w:r>
    </w:p>
    <w:p>
      <w:pPr>
        <w:spacing w:after="160" w:line="276"/>
        <w:jc w:val="both"/>
      </w:pPr>
      <w:r>
        <w:rPr>
          <w:sz w:val="22"/>
          <w:szCs w:val="22"/>
        </w:rPr>
        <w:t xml:space="preserve">4. Board of Governors of the Federal Reserve System and Federal Trade Commission (2007). Report to Congress on the Effects of Credit Scores and Credit-Based Insurance Scores on the Availability and Affordability of Financial Products.</w:t>
      </w:r>
    </w:p>
    <w:p>
      <w:pPr>
        <w:spacing w:after="160" w:line="276"/>
        <w:jc w:val="both"/>
      </w:pPr>
      <w:r>
        <w:rPr>
          <w:sz w:val="22"/>
          <w:szCs w:val="22"/>
        </w:rPr>
        <w:t xml:space="preserve">5. Financial Stability Board (2017). Artificial Intelligence and Machine Learning in Financial Services.</w:t>
      </w:r>
    </w:p>
    <w:p>
      <w:pPr>
        <w:spacing w:after="160" w:line="276"/>
        <w:jc w:val="both"/>
      </w:pPr>
      <w:r>
        <w:rPr>
          <w:sz w:val="22"/>
          <w:szCs w:val="22"/>
        </w:rPr>
        <w:t xml:space="preserve">6. Board of Governors of the Federal Reserve System and Office of the Comptroller of the Currency (2011). SR 11-7: Guidance on Model Risk Management.</w:t>
      </w:r>
    </w:p>
    <w:p>
      <w:pPr>
        <w:spacing w:after="160" w:line="276"/>
        <w:jc w:val="both"/>
      </w:pPr>
      <w:r>
        <w:rPr>
          <w:sz w:val="22"/>
          <w:szCs w:val="22"/>
        </w:rPr>
        <w:t xml:space="preserve">7. Hardt, M., Price, E., and Srebro, N. (2016). Equality of Opportunity in Supervised Learning. Advances in Neural Information Processing Systems (NeurIPS).</w:t>
      </w:r>
    </w:p>
    <w:p>
      <w:pPr>
        <w:spacing w:after="160" w:line="276"/>
        <w:jc w:val="both"/>
      </w:pPr>
      <w:r>
        <w:rPr>
          <w:sz w:val="22"/>
          <w:szCs w:val="22"/>
        </w:rPr>
        <w:t xml:space="preserve">8. Lundberg, S. M., and Lee, S.-I. (2017). A Unified Approach to Interpreting Model Predictions (SHAP). Advances in Neural Information Processing Systems (NeurIPS).</w:t>
      </w:r>
    </w:p>
    <w:p>
      <w:pPr>
        <w:spacing w:after="160" w:line="276"/>
        <w:jc w:val="both"/>
      </w:pPr>
      <w:r>
        <w:rPr>
          <w:sz w:val="22"/>
          <w:szCs w:val="22"/>
        </w:rPr>
        <w:t xml:space="preserve">9. Durand, D. (1941). Risk Elements in Consumer Instalment Financing. National Bureau of Economic Research.</w:t>
      </w:r>
    </w:p>
    <w:p>
      <w:pPr>
        <w:spacing w:after="160" w:line="276"/>
        <w:jc w:val="both"/>
      </w:pPr>
      <w:r>
        <w:rPr>
          <w:sz w:val="22"/>
          <w:szCs w:val="22"/>
        </w:rPr>
        <w:t xml:space="preserve">10. Reserve Bank of India. Master Direction – Reserve Bank of India (Credit Information Reporting) Directions, 2025, effective 6 January 2025.</w:t>
      </w:r>
    </w:p>
    <w:p>
      <w:pPr>
        <w:spacing w:after="160" w:line="276"/>
        <w:jc w:val="both"/>
      </w:pPr>
      <w:r>
        <w:rPr>
          <w:sz w:val="22"/>
          <w:szCs w:val="22"/>
        </w:rPr>
        <w:t xml:space="preserve">11. Reserve Bank of India. Master Direction – Reserve Bank of India (Credit Information Companies) Directions, 2025, effective 28 November 2025.</w:t>
      </w:r>
    </w:p>
    <w:p>
      <w:pPr>
        <w:spacing w:after="160" w:line="276"/>
        <w:jc w:val="both"/>
      </w:pPr>
      <w:r>
        <w:rPr>
          <w:sz w:val="22"/>
          <w:szCs w:val="22"/>
        </w:rPr>
        <w:t xml:space="preserve">12. Reserve Bank of India. Credit Information Companies (Regulation) Act, 2005, and subordinate regulations.</w:t>
      </w:r>
    </w:p>
    <w:p>
      <w:pPr>
        <w:spacing w:after="160" w:line="276"/>
        <w:jc w:val="both"/>
      </w:pPr>
      <w:r>
        <w:rPr>
          <w:sz w:val="22"/>
          <w:szCs w:val="22"/>
        </w:rPr>
        <w:t xml:space="preserve">Dataset citation and access: https://archive.ics.uci.edu/ml/datasets/Statlog+(German+Credit+Data)</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FinSearch '26 | Understanding Credit Score Algorithms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2026-07-28T07:02:59.550Z</dcterms:created>
  <dcterms:modified xsi:type="dcterms:W3CDTF">2026-07-28T07:02:59.552Z</dcterms:modified>
</cp:coreProperties>
</file>

<file path=docProps/custom.xml><?xml version="1.0" encoding="utf-8"?>
<Properties xmlns="http://schemas.openxmlformats.org/officeDocument/2006/custom-properties" xmlns:vt="http://schemas.openxmlformats.org/officeDocument/2006/docPropsVTypes"/>
</file>