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Naming Convention Guidelines</w:t>
      </w:r>
    </w:p>
    <w:p>
      <w:r>
        <w:t>This document defines the standard naming conventions for regulatory, financial, and operational documents. These guidelines aim to ensure consistency, clarity, easy retrieval, and accuracy across systems and databases.</w:t>
      </w:r>
    </w:p>
    <w:p>
      <w:pPr>
        <w:pStyle w:val="Heading2"/>
      </w:pPr>
      <w:r>
        <w:t>1. General Principles</w:t>
      </w:r>
    </w:p>
    <w:p>
      <w:r>
        <w:br/>
        <w:t>• All filenames must be in lowercase.</w:t>
        <w:br/>
        <w:t>• Use underscores (_) instead of spaces.</w:t>
        <w:br/>
        <w:t>• Avoid unnecessary words, long clauses, or legal phrases.</w:t>
        <w:br/>
        <w:t>• Do not use dates in day-month format (e.g., 14th_august).</w:t>
        <w:br/>
        <w:t>• Maintain consistency across similar document types.</w:t>
        <w:br/>
        <w:t>• Each filename must be unique.</w:t>
        <w:br/>
      </w:r>
    </w:p>
    <w:p>
      <w:pPr>
        <w:pStyle w:val="Heading2"/>
      </w:pPr>
      <w:r>
        <w:t>2. Standard Filename Structure</w:t>
      </w:r>
    </w:p>
    <w:p>
      <w:r>
        <w:br/>
        <w:t>&lt;document_type&gt;_&lt;category&gt;_&lt;year&gt;_&lt;period_or_purpose&gt;_vX.pdf</w:t>
        <w:br/>
        <w:br/>
        <w:t>Where:</w:t>
        <w:br/>
        <w:t>• document_type: broad classification (financial, disclosure, soc, pillar3, reg74, etc.)</w:t>
        <w:br/>
        <w:t>• category: short description of content</w:t>
        <w:br/>
        <w:t>• year: relevant reporting or effective year</w:t>
        <w:br/>
        <w:t>• period_or_purpose: quarter, event, or usage</w:t>
        <w:br/>
        <w:t>• vX: version number (v1, v2, v3...)</w:t>
        <w:br/>
      </w:r>
    </w:p>
    <w:p>
      <w:pPr>
        <w:pStyle w:val="Heading2"/>
      </w:pPr>
      <w:r>
        <w:t>3. Schedule of Charges (SOC)</w:t>
      </w:r>
    </w:p>
    <w:p>
      <w:r>
        <w:br/>
        <w:t>Nature:</w:t>
        <w:br/>
        <w:t>Versioned pricing/policy documents.</w:t>
        <w:br/>
        <w:br/>
        <w:t>Rule:</w:t>
        <w:br/>
        <w:t>• Only the latest version remains active.</w:t>
        <w:br/>
        <w:t>• Older versions must be archived.</w:t>
        <w:br/>
        <w:br/>
        <w:t>Format:</w:t>
        <w:br/>
        <w:t>soc_&lt;account_type&gt;_&lt;year&gt;_vX.pdf</w:t>
        <w:br/>
        <w:br/>
        <w:t>Example:</w:t>
        <w:br/>
        <w:t>soc_savings_account_2025_v2.pdf</w:t>
        <w:br/>
      </w:r>
    </w:p>
    <w:p>
      <w:pPr>
        <w:pStyle w:val="Heading2"/>
      </w:pPr>
      <w:r>
        <w:t>4. Financial Results</w:t>
      </w:r>
    </w:p>
    <w:p>
      <w:r>
        <w:br/>
        <w:t>Nature:</w:t>
        <w:br/>
        <w:t>Quarterly and annual financial statements.</w:t>
        <w:br/>
        <w:br/>
        <w:t>Rule:</w:t>
        <w:br/>
        <w:t>• All quarters remain active.</w:t>
        <w:br/>
        <w:t>• Revisions follow version increments.</w:t>
        <w:br/>
        <w:br/>
        <w:t>Format:</w:t>
        <w:br/>
        <w:t>financial_results_&lt;fy&gt;_q&lt;q&gt;_&lt;type&gt;_vX.pdf</w:t>
        <w:br/>
        <w:br/>
        <w:t>Example:</w:t>
        <w:br/>
        <w:t>financial_results_2023_q2_unaudited_v3.pdf</w:t>
        <w:br/>
      </w:r>
    </w:p>
    <w:p>
      <w:pPr>
        <w:pStyle w:val="Heading2"/>
      </w:pPr>
      <w:r>
        <w:t>5. Board Meetings and Event Disclosures</w:t>
      </w:r>
    </w:p>
    <w:p>
      <w:r>
        <w:br/>
        <w:t>Nature:</w:t>
        <w:br/>
        <w:t>Event-based regulatory disclosures.</w:t>
        <w:br/>
        <w:br/>
        <w:t>Rule:</w:t>
        <w:br/>
        <w:t>• All records must be preserved.</w:t>
        <w:br/>
        <w:t>• Different events require different names.</w:t>
        <w:br/>
        <w:br/>
        <w:t>Format:</w:t>
        <w:br/>
        <w:t>disclosure_&lt;event&gt;_&lt;year&gt;_&lt;purpose&gt;_v1.pdf</w:t>
        <w:br/>
        <w:br/>
        <w:t>Example:</w:t>
        <w:br/>
        <w:t>disclosure_agm_2024_notice_voting_v1.pdf</w:t>
        <w:br/>
      </w:r>
    </w:p>
    <w:p>
      <w:pPr>
        <w:pStyle w:val="Heading2"/>
      </w:pPr>
      <w:r>
        <w:t>6. Newspaper Publications</w:t>
      </w:r>
    </w:p>
    <w:p>
      <w:r>
        <w:br/>
        <w:t>Nature:</w:t>
        <w:br/>
        <w:t>Proof of publication for financial results or disclosures.</w:t>
        <w:br/>
        <w:br/>
        <w:t>Rule:</w:t>
        <w:br/>
        <w:t>• All quarters are retained.</w:t>
        <w:br/>
        <w:t>• Duplicates follow versioning.</w:t>
        <w:br/>
        <w:br/>
        <w:t>Format:</w:t>
        <w:br/>
        <w:t>newspaper_&lt;category&gt;_&lt;fy&gt;_q&lt;q&gt;_&lt;year&gt;_vX.pdf</w:t>
        <w:br/>
        <w:br/>
        <w:t>Example:</w:t>
        <w:br/>
        <w:t>newspaper_financial_results_2022_q4_2022_v1.pdf</w:t>
        <w:br/>
      </w:r>
    </w:p>
    <w:p>
      <w:pPr>
        <w:pStyle w:val="Heading2"/>
      </w:pPr>
      <w:r>
        <w:t>7. Pillar III / Basel Disclosures</w:t>
      </w:r>
    </w:p>
    <w:p>
      <w:r>
        <w:br/>
        <w:t>Nature:</w:t>
        <w:br/>
        <w:t>Risk and capital adequacy disclosures.</w:t>
        <w:br/>
        <w:br/>
        <w:t>Rule:</w:t>
        <w:br/>
        <w:t>• Maintain complete historical records.</w:t>
        <w:br/>
        <w:t>• Archive only if revised for same period.</w:t>
        <w:br/>
        <w:br/>
        <w:t>Format:</w:t>
        <w:br/>
        <w:t>pillar3_&lt;fy&gt;_q&lt;q&gt;_&lt;year&gt;_vX.pdf</w:t>
        <w:br/>
        <w:br/>
        <w:t>Example:</w:t>
        <w:br/>
        <w:t>pillar3_2024_q3_2024_v1.pdf</w:t>
        <w:br/>
      </w:r>
    </w:p>
    <w:p>
      <w:pPr>
        <w:pStyle w:val="Heading2"/>
      </w:pPr>
      <w:r>
        <w:t>8. Regulatory Compliance Certificates (Reg 74(5))</w:t>
      </w:r>
    </w:p>
    <w:p>
      <w:r>
        <w:br/>
        <w:t>Nature:</w:t>
        <w:br/>
        <w:t>Quarterly dematerialization compliance certificates.</w:t>
        <w:br/>
        <w:br/>
        <w:t>Rule:</w:t>
        <w:br/>
        <w:t>• All certificates remain active.</w:t>
        <w:br/>
        <w:t>• Only revised versions are archived.</w:t>
        <w:br/>
        <w:br/>
        <w:t>Format:</w:t>
        <w:br/>
        <w:t>reg74_certificate_&lt;fy&gt;_q&lt;q&gt;_&lt;year&gt;_vX.pdf</w:t>
        <w:br/>
        <w:br/>
        <w:t>Example:</w:t>
        <w:br/>
        <w:t>reg74_certificate_2025_q1_2025_v1.pdf</w:t>
        <w:br/>
      </w:r>
    </w:p>
    <w:p>
      <w:pPr>
        <w:pStyle w:val="Heading2"/>
      </w:pPr>
      <w:r>
        <w:t>9. AGM Notices and Advertisements</w:t>
      </w:r>
    </w:p>
    <w:p>
      <w:r>
        <w:br/>
        <w:t>Nature:</w:t>
        <w:br/>
        <w:t>Public communications related to Annual General Meetings.</w:t>
        <w:br/>
        <w:br/>
        <w:t>Rule:</w:t>
        <w:br/>
        <w:t>• Preserve each stage separately.</w:t>
        <w:br/>
        <w:t>• Do not overwrite similar notices.</w:t>
        <w:br/>
        <w:br/>
        <w:t>Format:</w:t>
        <w:br/>
        <w:t>disclosure_agm_&lt;year&gt;_&lt;stage&gt;_vX.pdf</w:t>
        <w:br/>
        <w:br/>
        <w:t>Example:</w:t>
        <w:br/>
        <w:t>disclosure_agm_2024_announcement_v1.pdf</w:t>
        <w:br/>
      </w:r>
    </w:p>
    <w:p>
      <w:pPr>
        <w:pStyle w:val="Heading2"/>
      </w:pPr>
      <w:r>
        <w:t>10. Website and Thematic Files (th_*)</w:t>
      </w:r>
    </w:p>
    <w:p>
      <w:r>
        <w:br/>
        <w:t>Nature:</w:t>
        <w:br/>
        <w:t>Website-uploaded thematic or event files.</w:t>
        <w:br/>
        <w:br/>
        <w:t>Rule:</w:t>
        <w:br/>
        <w:t>• Remove month/day prefixes.</w:t>
        <w:br/>
        <w:t>• Retain year and version.</w:t>
        <w:br/>
        <w:br/>
        <w:t>Format:</w:t>
        <w:br/>
        <w:t>&lt;topic&gt;_&lt;year&gt;_vX.pdf</w:t>
        <w:br/>
        <w:br/>
        <w:t>Example:</w:t>
        <w:br/>
        <w:t>cancellation_of_meet_2024_v1.pdf</w:t>
        <w:br/>
      </w:r>
    </w:p>
    <w:p>
      <w:pPr>
        <w:pStyle w:val="Heading2"/>
      </w:pPr>
      <w:r>
        <w:t>11. Version Control Policy</w:t>
      </w:r>
    </w:p>
    <w:p>
      <w:r>
        <w:br/>
        <w:t>• Versioning applies when content is revised.</w:t>
        <w:br/>
        <w:t>• Latest version must have the highest number.</w:t>
        <w:br/>
        <w:t>• Only the highest version remains active.</w:t>
        <w:br/>
        <w:t>• Older versions must be archived.</w:t>
        <w:br/>
        <w:br/>
        <w:t>Example:</w:t>
        <w:br/>
        <w:t>v1 → archive</w:t>
        <w:br/>
        <w:t>v2 → archive</w:t>
        <w:br/>
        <w:t>v3 → active</w:t>
        <w:br/>
      </w:r>
    </w:p>
    <w:p>
      <w:pPr>
        <w:pStyle w:val="Heading2"/>
      </w:pPr>
      <w:r>
        <w:t>12. Archival Rules</w:t>
      </w:r>
    </w:p>
    <w:p>
      <w:r>
        <w:br/>
        <w:t>Archive documents when:</w:t>
        <w:br/>
        <w:t>• A newer policy/pricing document is released.</w:t>
        <w:br/>
        <w:t>• A revised version replaces an older one.</w:t>
        <w:br/>
        <w:br/>
        <w:t>Do NOT archive when:</w:t>
        <w:br/>
        <w:t>• Documents represent historical timelines.</w:t>
        <w:br/>
        <w:t>• Documents are compliance or audit records.</w:t>
        <w:br/>
        <w:t>• Documents relate to different reporting periods.</w:t>
        <w:br/>
      </w:r>
    </w:p>
    <w:p>
      <w:pPr>
        <w:pStyle w:val="Heading2"/>
      </w:pPr>
      <w:r>
        <w:t>13. Common Mistakes to Avoid</w:t>
      </w:r>
    </w:p>
    <w:p>
      <w:r>
        <w:br/>
        <w:t>• Using full legal titles in filenames.</w:t>
        <w:br/>
        <w:t>• Including exact dates (14th, 30th, etc.).</w:t>
        <w:br/>
        <w:t>• Mixing uppercase and lowercase.</w:t>
        <w:br/>
        <w:t>• Reusing filenames for different documents.</w:t>
        <w:br/>
        <w:t>• Keeping multiple pricing versions active.</w:t>
        <w:br/>
      </w:r>
    </w:p>
    <w:p>
      <w:pPr>
        <w:pStyle w:val="Heading2"/>
      </w:pPr>
      <w:r>
        <w:t>14. Summary</w:t>
      </w:r>
    </w:p>
    <w:p>
      <w:r>
        <w:br/>
        <w:t>These naming standards must be followed for all uploads.</w:t>
        <w:br/>
        <w:t>Consistent naming ensures reliable retrieval, compliance accuracy,</w:t>
        <w:br/>
        <w:t>and reduced operational risk.</w:t>
        <w:br/>
        <w:br/>
        <w:t>Any deviation should be approved by the system administrator.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