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GULF HORIZON ENERGY</w:t>
      </w:r>
    </w:p>
    <w:p>
      <w:pPr>
        <w:pStyle w:val="Title"/>
        <w:jc w:val="center"/>
      </w:pPr>
      <w:r>
        <w:t>Business Requirements Document</w:t>
      </w:r>
    </w:p>
    <w:p>
      <w:pPr>
        <w:jc w:val="center"/>
      </w:pPr>
      <w:r>
        <w:t>Oil &amp; Gas Production Intelligence &amp; Operational Performance Analytics</w:t>
      </w:r>
    </w:p>
    <w:p>
      <w:pPr>
        <w:jc w:val="center"/>
      </w:pPr>
      <w:r>
        <w:t>Fictional UAE Oil &amp; Gas Case Study  |  Version 1.0  |  14 October 2026</w:t>
      </w:r>
    </w:p>
    <w:p>
      <w:r>
        <w:t>Portfolio simulation using synthetic data. No actual operator, employees, facilities or financial records are represented.</w:t>
      </w:r>
    </w:p>
    <w:p>
      <w:pPr>
        <w:pStyle w:val="Heading1"/>
      </w:pPr>
      <w:r>
        <w:t>1. Executive Summary</w:t>
      </w:r>
    </w:p>
    <w:p>
      <w:r>
        <w:t>Gulf Horizon Energy is a fictional operator seeking a unified business intelligence view of production attainment, well-level performance, equipment downtime and operating cost efficiency. The proposed solution combines curated synthetic operational datasets, SQL-based reconciliation and a five-page Power BI dashboard to support timely management decisions.</w:t>
      </w:r>
    </w:p>
    <w:p>
      <w:pPr>
        <w:pStyle w:val="Heading1"/>
      </w:pPr>
      <w:r>
        <w:t>2. Business Problem</w:t>
      </w:r>
    </w:p>
    <w:p>
      <w:r>
        <w:t>Separate production, reliability and finance views make it difficult to identify which fields and wells are below target, what operational events may contribute to lost output, and where cost per barrel-of-oil-equivalent (BOE) is highest. Management needs a consistent and traceable analytical layer.</w:t>
      </w:r>
    </w:p>
    <w:p>
      <w:pPr>
        <w:pStyle w:val="Heading1"/>
      </w:pPr>
      <w:r>
        <w:t>3. Business Objectives</w:t>
      </w:r>
    </w:p>
    <w:p>
      <w:pPr>
        <w:pStyle w:val="ListBullet"/>
      </w:pPr>
      <w:r>
        <w:t>Compare actual and target BOE by field, well and date.</w:t>
      </w:r>
    </w:p>
    <w:p>
      <w:pPr>
        <w:pStyle w:val="ListBullet"/>
      </w:pPr>
      <w:r>
        <w:t>Identify production shortfalls and rank field/well performance.</w:t>
      </w:r>
    </w:p>
    <w:p>
      <w:pPr>
        <w:pStyle w:val="ListBullet"/>
      </w:pPr>
      <w:r>
        <w:t>Summarize downtime events, reasons, hours and estimated event-related loss.</w:t>
      </w:r>
    </w:p>
    <w:p>
      <w:pPr>
        <w:pStyle w:val="ListBullet"/>
      </w:pPr>
      <w:r>
        <w:t>Monitor energy, maintenance and other operating costs, including weighted AED/BOE.</w:t>
      </w:r>
    </w:p>
    <w:p>
      <w:pPr>
        <w:pStyle w:val="ListBullet"/>
      </w:pPr>
      <w:r>
        <w:t>Enable transparent, reproducible KPI reconciliation using SQL and source data.</w:t>
      </w:r>
    </w:p>
    <w:p>
      <w:pPr>
        <w:pStyle w:val="Heading1"/>
      </w:pPr>
      <w:r>
        <w:t>4. Stakeholders and Roles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Stakeholder</w:t>
            </w:r>
          </w:p>
        </w:tc>
        <w:tc>
          <w:tcPr>
            <w:tcW w:type="dxa" w:w="4320"/>
          </w:tcPr>
          <w:p>
            <w:r>
              <w:t>Primary interest / role</w:t>
            </w:r>
          </w:p>
        </w:tc>
      </w:tr>
      <w:tr>
        <w:tc>
          <w:tcPr>
            <w:tcW w:type="dxa" w:w="4320"/>
          </w:tcPr>
          <w:p>
            <w:r>
              <w:t>COO / Executive Sponsor</w:t>
            </w:r>
          </w:p>
        </w:tc>
        <w:tc>
          <w:tcPr>
            <w:tcW w:type="dxa" w:w="4320"/>
          </w:tcPr>
          <w:p>
            <w:r>
              <w:t>Portfolio-wide performance and prioritization; fictional approval authority</w:t>
            </w:r>
          </w:p>
        </w:tc>
      </w:tr>
      <w:tr>
        <w:tc>
          <w:tcPr>
            <w:tcW w:type="dxa" w:w="4320"/>
          </w:tcPr>
          <w:p>
            <w:r>
              <w:t>Production Manager</w:t>
            </w:r>
          </w:p>
        </w:tc>
        <w:tc>
          <w:tcPr>
            <w:tcW w:type="dxa" w:w="4320"/>
          </w:tcPr>
          <w:p>
            <w:r>
              <w:t>Production attainment, field and well trends</w:t>
            </w:r>
          </w:p>
        </w:tc>
      </w:tr>
      <w:tr>
        <w:tc>
          <w:tcPr>
            <w:tcW w:type="dxa" w:w="4320"/>
          </w:tcPr>
          <w:p>
            <w:r>
              <w:t>Reliability Engineer</w:t>
            </w:r>
          </w:p>
        </w:tc>
        <w:tc>
          <w:tcPr>
            <w:tcW w:type="dxa" w:w="4320"/>
          </w:tcPr>
          <w:p>
            <w:r>
              <w:t>Downtime causes and maintenance prioritization</w:t>
            </w:r>
          </w:p>
        </w:tc>
      </w:tr>
      <w:tr>
        <w:tc>
          <w:tcPr>
            <w:tcW w:type="dxa" w:w="4320"/>
          </w:tcPr>
          <w:p>
            <w:r>
              <w:t>Finance Analyst</w:t>
            </w:r>
          </w:p>
        </w:tc>
        <w:tc>
          <w:tcPr>
            <w:tcW w:type="dxa" w:w="4320"/>
          </w:tcPr>
          <w:p>
            <w:r>
              <w:t>Operating costs and AED/BOE efficiency</w:t>
            </w:r>
          </w:p>
        </w:tc>
      </w:tr>
      <w:tr>
        <w:tc>
          <w:tcPr>
            <w:tcW w:type="dxa" w:w="4320"/>
          </w:tcPr>
          <w:p>
            <w:r>
              <w:t>BI Analyst / Developer</w:t>
            </w:r>
          </w:p>
        </w:tc>
        <w:tc>
          <w:tcPr>
            <w:tcW w:type="dxa" w:w="4320"/>
          </w:tcPr>
          <w:p>
            <w:r>
              <w:t>Data modelling, KPI definitions, reporting and validation</w:t>
            </w:r>
          </w:p>
        </w:tc>
      </w:tr>
      <w:tr>
        <w:tc>
          <w:tcPr>
            <w:tcW w:type="dxa" w:w="4320"/>
          </w:tcPr>
          <w:p>
            <w:r>
              <w:t>QA / UAT Reviewer</w:t>
            </w:r>
          </w:p>
        </w:tc>
        <w:tc>
          <w:tcPr>
            <w:tcW w:type="dxa" w:w="4320"/>
          </w:tcPr>
          <w:p>
            <w:r>
              <w:t>Reconciliation, navigation and acceptance evidence</w:t>
            </w:r>
          </w:p>
        </w:tc>
      </w:tr>
    </w:tbl>
    <w:p>
      <w:pPr>
        <w:pStyle w:val="Heading1"/>
      </w:pPr>
      <w:r>
        <w:t>5. Scope</w:t>
      </w:r>
    </w:p>
    <w:p>
      <w:pPr>
        <w:pStyle w:val="Heading2"/>
      </w:pPr>
      <w:r>
        <w:t>In scope</w:t>
      </w:r>
    </w:p>
    <w:p>
      <w:r>
        <w:t>Six fictional UAE fields; 48 wells; 90 days of daily well-level production and operating costs; 333 downtime events; Power Query data typing, MySQL analytical queries, Power BI reporting, and supporting BA/QA documentation.</w:t>
      </w:r>
    </w:p>
    <w:p>
      <w:pPr>
        <w:pStyle w:val="Heading2"/>
      </w:pPr>
      <w:r>
        <w:t>Out of scope</w:t>
      </w:r>
    </w:p>
    <w:p>
      <w:r>
        <w:t>Live telemetry, actual reservoir engineering, audited revenue/profit, verified forecasts, carbon emissions, measured oil/gas/water splits and real asset geolocation. MicroStrategy reporting and scenario analysis are optional enhancements subject to access and testing.</w:t>
      </w:r>
    </w:p>
    <w:p>
      <w:pPr>
        <w:pStyle w:val="Heading1"/>
      </w:pPr>
      <w:r>
        <w:t>6. Functional Business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BR-01</w:t>
            </w:r>
          </w:p>
        </w:tc>
        <w:tc>
          <w:tcPr>
            <w:tcW w:type="dxa" w:w="2880"/>
          </w:tcPr>
          <w:p>
            <w:r>
              <w:t>Filter relevant metrics by date, field and available well/asset attributes.</w:t>
            </w:r>
          </w:p>
        </w:tc>
        <w:tc>
          <w:tcPr>
            <w:tcW w:type="dxa" w:w="2880"/>
          </w:tcPr>
          <w:p>
            <w:r>
              <w:t>Must</w:t>
            </w:r>
          </w:p>
        </w:tc>
      </w:tr>
      <w:tr>
        <w:tc>
          <w:tcPr>
            <w:tcW w:type="dxa" w:w="2880"/>
          </w:tcPr>
          <w:p>
            <w:r>
              <w:t>BR-02</w:t>
            </w:r>
          </w:p>
        </w:tc>
        <w:tc>
          <w:tcPr>
            <w:tcW w:type="dxa" w:w="2880"/>
          </w:tcPr>
          <w:p>
            <w:r>
              <w:t>Display actual BOE, target BOE, variance and attainment trends.</w:t>
            </w:r>
          </w:p>
        </w:tc>
        <w:tc>
          <w:tcPr>
            <w:tcW w:type="dxa" w:w="2880"/>
          </w:tcPr>
          <w:p>
            <w:r>
              <w:t>Must</w:t>
            </w:r>
          </w:p>
        </w:tc>
      </w:tr>
      <w:tr>
        <w:tc>
          <w:tcPr>
            <w:tcW w:type="dxa" w:w="2880"/>
          </w:tcPr>
          <w:p>
            <w:r>
              <w:t>BR-03</w:t>
            </w:r>
          </w:p>
        </w:tc>
        <w:tc>
          <w:tcPr>
            <w:tcW w:type="dxa" w:w="2880"/>
          </w:tcPr>
          <w:p>
            <w:r>
              <w:t>Compare and rank fields/wells by production performance.</w:t>
            </w:r>
          </w:p>
        </w:tc>
        <w:tc>
          <w:tcPr>
            <w:tcW w:type="dxa" w:w="2880"/>
          </w:tcPr>
          <w:p>
            <w:r>
              <w:t>Must</w:t>
            </w:r>
          </w:p>
        </w:tc>
      </w:tr>
      <w:tr>
        <w:tc>
          <w:tcPr>
            <w:tcW w:type="dxa" w:w="2880"/>
          </w:tcPr>
          <w:p>
            <w:r>
              <w:t>BR-04</w:t>
            </w:r>
          </w:p>
        </w:tc>
        <w:tc>
          <w:tcPr>
            <w:tcW w:type="dxa" w:w="2880"/>
          </w:tcPr>
          <w:p>
            <w:r>
              <w:t>Analyze downtime by event reason, hours and estimated lost BOE.</w:t>
            </w:r>
          </w:p>
        </w:tc>
        <w:tc>
          <w:tcPr>
            <w:tcW w:type="dxa" w:w="2880"/>
          </w:tcPr>
          <w:p>
            <w:r>
              <w:t>Must</w:t>
            </w:r>
          </w:p>
        </w:tc>
      </w:tr>
      <w:tr>
        <w:tc>
          <w:tcPr>
            <w:tcW w:type="dxa" w:w="2880"/>
          </w:tcPr>
          <w:p>
            <w:r>
              <w:t>BR-05</w:t>
            </w:r>
          </w:p>
        </w:tc>
        <w:tc>
          <w:tcPr>
            <w:tcW w:type="dxa" w:w="2880"/>
          </w:tcPr>
          <w:p>
            <w:r>
              <w:t>Analyze operating costs and weighted AED per actual BOE.</w:t>
            </w:r>
          </w:p>
        </w:tc>
        <w:tc>
          <w:tcPr>
            <w:tcW w:type="dxa" w:w="2880"/>
          </w:tcPr>
          <w:p>
            <w:r>
              <w:t>Must</w:t>
            </w:r>
          </w:p>
        </w:tc>
      </w:tr>
      <w:tr>
        <w:tc>
          <w:tcPr>
            <w:tcW w:type="dxa" w:w="2880"/>
          </w:tcPr>
          <w:p>
            <w:r>
              <w:t>BR-06</w:t>
            </w:r>
          </w:p>
        </w:tc>
        <w:tc>
          <w:tcPr>
            <w:tcW w:type="dxa" w:w="2880"/>
          </w:tcPr>
          <w:p>
            <w:r>
              <w:t>Provide navigable, clearly titled management reporting pages.</w:t>
            </w:r>
          </w:p>
        </w:tc>
        <w:tc>
          <w:tcPr>
            <w:tcW w:type="dxa" w:w="2880"/>
          </w:tcPr>
          <w:p>
            <w:r>
              <w:t>Must</w:t>
            </w:r>
          </w:p>
        </w:tc>
      </w:tr>
      <w:tr>
        <w:tc>
          <w:tcPr>
            <w:tcW w:type="dxa" w:w="2880"/>
          </w:tcPr>
          <w:p>
            <w:r>
              <w:t>BR-07</w:t>
            </w:r>
          </w:p>
        </w:tc>
        <w:tc>
          <w:tcPr>
            <w:tcW w:type="dxa" w:w="2880"/>
          </w:tcPr>
          <w:p>
            <w:r>
              <w:t>Enable field/well drill-through where implemented and verified.</w:t>
            </w:r>
          </w:p>
        </w:tc>
        <w:tc>
          <w:tcPr>
            <w:tcW w:type="dxa" w:w="2880"/>
          </w:tcPr>
          <w:p>
            <w:r>
              <w:t>Should</w:t>
            </w:r>
          </w:p>
        </w:tc>
      </w:tr>
      <w:tr>
        <w:tc>
          <w:tcPr>
            <w:tcW w:type="dxa" w:w="2880"/>
          </w:tcPr>
          <w:p>
            <w:r>
              <w:t>BR-08</w:t>
            </w:r>
          </w:p>
        </w:tc>
        <w:tc>
          <w:tcPr>
            <w:tcW w:type="dxa" w:w="2880"/>
          </w:tcPr>
          <w:p>
            <w:r>
              <w:t>Provide an optional MicroStrategy scorecard using reconciled definitions.</w:t>
            </w:r>
          </w:p>
        </w:tc>
        <w:tc>
          <w:tcPr>
            <w:tcW w:type="dxa" w:w="2880"/>
          </w:tcPr>
          <w:p>
            <w:r>
              <w:t>Could</w:t>
            </w:r>
          </w:p>
        </w:tc>
      </w:tr>
    </w:tbl>
    <w:p>
      <w:pPr>
        <w:pStyle w:val="Heading1"/>
      </w:pPr>
      <w:r>
        <w:t>7. Nonfunctional Requirements</w:t>
      </w:r>
    </w:p>
    <w:p>
      <w:pPr>
        <w:pStyle w:val="ListBullet"/>
      </w:pPr>
      <w:r>
        <w:t>Consistency: same KPI definitions and filter scope across SQL and Power BI.</w:t>
      </w:r>
    </w:p>
    <w:p>
      <w:pPr>
        <w:pStyle w:val="ListBullet"/>
      </w:pPr>
      <w:r>
        <w:t>Data integrity: documented source grain and avoidance of fact-to-fact joins.</w:t>
      </w:r>
    </w:p>
    <w:p>
      <w:pPr>
        <w:pStyle w:val="ListBullet"/>
      </w:pPr>
      <w:r>
        <w:t>Usability: readable labels, visible units, coherent navigation and high-contrast text.</w:t>
      </w:r>
    </w:p>
    <w:p>
      <w:pPr>
        <w:pStyle w:val="ListBullet"/>
      </w:pPr>
      <w:r>
        <w:t>Transparency: identify all data and business entities as synthetic.</w:t>
      </w:r>
    </w:p>
    <w:p>
      <w:pPr>
        <w:pStyle w:val="ListBullet"/>
      </w:pPr>
      <w:r>
        <w:t>Traceability: retain KPI formulas, SQL evidence, requirement-to-test mapping and UAT results.</w:t>
      </w:r>
    </w:p>
    <w:p>
      <w:pPr>
        <w:pStyle w:val="Heading1"/>
      </w:pPr>
      <w:r>
        <w:t>8. Key KPI Definitions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KPI</w:t>
            </w:r>
          </w:p>
        </w:tc>
        <w:tc>
          <w:tcPr>
            <w:tcW w:type="dxa" w:w="4320"/>
          </w:tcPr>
          <w:p>
            <w:r>
              <w:t>Business definition</w:t>
            </w:r>
          </w:p>
        </w:tc>
      </w:tr>
      <w:tr>
        <w:tc>
          <w:tcPr>
            <w:tcW w:type="dxa" w:w="4320"/>
          </w:tcPr>
          <w:p>
            <w:r>
              <w:t>Actual Production</w:t>
            </w:r>
          </w:p>
        </w:tc>
        <w:tc>
          <w:tcPr>
            <w:tcW w:type="dxa" w:w="4320"/>
          </w:tcPr>
          <w:p>
            <w:r>
              <w:t>Sum of DailyProduction.ActualBOE</w:t>
            </w:r>
          </w:p>
        </w:tc>
      </w:tr>
      <w:tr>
        <w:tc>
          <w:tcPr>
            <w:tcW w:type="dxa" w:w="4320"/>
          </w:tcPr>
          <w:p>
            <w:r>
              <w:t>Target Production</w:t>
            </w:r>
          </w:p>
        </w:tc>
        <w:tc>
          <w:tcPr>
            <w:tcW w:type="dxa" w:w="4320"/>
          </w:tcPr>
          <w:p>
            <w:r>
              <w:t>Sum of DailyProduction.TargetBOE</w:t>
            </w:r>
          </w:p>
        </w:tc>
      </w:tr>
      <w:tr>
        <w:tc>
          <w:tcPr>
            <w:tcW w:type="dxa" w:w="4320"/>
          </w:tcPr>
          <w:p>
            <w:r>
              <w:t>Attainment %</w:t>
            </w:r>
          </w:p>
        </w:tc>
        <w:tc>
          <w:tcPr>
            <w:tcW w:type="dxa" w:w="4320"/>
          </w:tcPr>
          <w:p>
            <w:r>
              <w:t>Actual BOE / Target BOE × 100</w:t>
            </w:r>
          </w:p>
        </w:tc>
      </w:tr>
      <w:tr>
        <w:tc>
          <w:tcPr>
            <w:tcW w:type="dxa" w:w="4320"/>
          </w:tcPr>
          <w:p>
            <w:r>
              <w:t>Production Shortfall</w:t>
            </w:r>
          </w:p>
        </w:tc>
        <w:tc>
          <w:tcPr>
            <w:tcW w:type="dxa" w:w="4320"/>
          </w:tcPr>
          <w:p>
            <w:r>
              <w:t>Sum of positive per-row (Target BOE − Actual BOE)</w:t>
            </w:r>
          </w:p>
        </w:tc>
      </w:tr>
      <w:tr>
        <w:tc>
          <w:tcPr>
            <w:tcW w:type="dxa" w:w="4320"/>
          </w:tcPr>
          <w:p>
            <w:r>
              <w:t>Downtime Hours</w:t>
            </w:r>
          </w:p>
        </w:tc>
        <w:tc>
          <w:tcPr>
            <w:tcW w:type="dxa" w:w="4320"/>
          </w:tcPr>
          <w:p>
            <w:r>
              <w:t>Sum of DowntimeEvents.DowntimeHours</w:t>
            </w:r>
          </w:p>
        </w:tc>
      </w:tr>
      <w:tr>
        <w:tc>
          <w:tcPr>
            <w:tcW w:type="dxa" w:w="4320"/>
          </w:tcPr>
          <w:p>
            <w:r>
              <w:t>Estimated Event Loss</w:t>
            </w:r>
          </w:p>
        </w:tc>
        <w:tc>
          <w:tcPr>
            <w:tcW w:type="dxa" w:w="4320"/>
          </w:tcPr>
          <w:p>
            <w:r>
              <w:t>Sum of DowntimeEvents.EstimatedLostBOE; illustrative estimate</w:t>
            </w:r>
          </w:p>
        </w:tc>
      </w:tr>
      <w:tr>
        <w:tc>
          <w:tcPr>
            <w:tcW w:type="dxa" w:w="4320"/>
          </w:tcPr>
          <w:p>
            <w:r>
              <w:t>Operating Cost</w:t>
            </w:r>
          </w:p>
        </w:tc>
        <w:tc>
          <w:tcPr>
            <w:tcW w:type="dxa" w:w="4320"/>
          </w:tcPr>
          <w:p>
            <w:r>
              <w:t>Sum of energy + maintenance + other cost (AED)</w:t>
            </w:r>
          </w:p>
        </w:tc>
      </w:tr>
      <w:tr>
        <w:tc>
          <w:tcPr>
            <w:tcW w:type="dxa" w:w="4320"/>
          </w:tcPr>
          <w:p>
            <w:r>
              <w:t>Cost per BOE</w:t>
            </w:r>
          </w:p>
        </w:tc>
        <w:tc>
          <w:tcPr>
            <w:tcW w:type="dxa" w:w="4320"/>
          </w:tcPr>
          <w:p>
            <w:r>
              <w:t>Total operating cost / total actual BOE (AED/BOE)</w:t>
            </w:r>
          </w:p>
        </w:tc>
      </w:tr>
    </w:tbl>
    <w:p>
      <w:r>
        <w:t>Important: estimated event loss and positive production shortfall represent different constructs and must not be added together.</w:t>
      </w:r>
    </w:p>
    <w:p>
      <w:pPr>
        <w:pStyle w:val="Heading1"/>
      </w:pPr>
      <w:r>
        <w:t>9. Baseline Data and Reconciliation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Synthetic source baseline</w:t>
            </w:r>
          </w:p>
        </w:tc>
      </w:tr>
      <w:tr>
        <w:tc>
          <w:tcPr>
            <w:tcW w:type="dxa" w:w="4320"/>
          </w:tcPr>
          <w:p>
            <w:r>
              <w:t>Fields</w:t>
            </w:r>
          </w:p>
        </w:tc>
        <w:tc>
          <w:tcPr>
            <w:tcW w:type="dxa" w:w="4320"/>
          </w:tcPr>
          <w:p>
            <w:r>
              <w:t>6</w:t>
            </w:r>
          </w:p>
        </w:tc>
      </w:tr>
      <w:tr>
        <w:tc>
          <w:tcPr>
            <w:tcW w:type="dxa" w:w="4320"/>
          </w:tcPr>
          <w:p>
            <w:r>
              <w:t>Wells</w:t>
            </w:r>
          </w:p>
        </w:tc>
        <w:tc>
          <w:tcPr>
            <w:tcW w:type="dxa" w:w="4320"/>
          </w:tcPr>
          <w:p>
            <w:r>
              <w:t>48</w:t>
            </w:r>
          </w:p>
        </w:tc>
      </w:tr>
      <w:tr>
        <w:tc>
          <w:tcPr>
            <w:tcW w:type="dxa" w:w="4320"/>
          </w:tcPr>
          <w:p>
            <w:r>
              <w:t>Daily production records</w:t>
            </w:r>
          </w:p>
        </w:tc>
        <w:tc>
          <w:tcPr>
            <w:tcW w:type="dxa" w:w="4320"/>
          </w:tcPr>
          <w:p>
            <w:r>
              <w:t>4,320</w:t>
            </w:r>
          </w:p>
        </w:tc>
      </w:tr>
      <w:tr>
        <w:tc>
          <w:tcPr>
            <w:tcW w:type="dxa" w:w="4320"/>
          </w:tcPr>
          <w:p>
            <w:r>
              <w:t>Operating cost records</w:t>
            </w:r>
          </w:p>
        </w:tc>
        <w:tc>
          <w:tcPr>
            <w:tcW w:type="dxa" w:w="4320"/>
          </w:tcPr>
          <w:p>
            <w:r>
              <w:t>4,320</w:t>
            </w:r>
          </w:p>
        </w:tc>
      </w:tr>
      <w:tr>
        <w:tc>
          <w:tcPr>
            <w:tcW w:type="dxa" w:w="4320"/>
          </w:tcPr>
          <w:p>
            <w:r>
              <w:t>Downtime events</w:t>
            </w:r>
          </w:p>
        </w:tc>
        <w:tc>
          <w:tcPr>
            <w:tcW w:type="dxa" w:w="4320"/>
          </w:tcPr>
          <w:p>
            <w:r>
              <w:t>333</w:t>
            </w:r>
          </w:p>
        </w:tc>
      </w:tr>
      <w:tr>
        <w:tc>
          <w:tcPr>
            <w:tcW w:type="dxa" w:w="4320"/>
          </w:tcPr>
          <w:p>
            <w:r>
              <w:t>Actual production</w:t>
            </w:r>
          </w:p>
        </w:tc>
        <w:tc>
          <w:tcPr>
            <w:tcW w:type="dxa" w:w="4320"/>
          </w:tcPr>
          <w:p>
            <w:r>
              <w:t>3,066,194.00 BOE</w:t>
            </w:r>
          </w:p>
        </w:tc>
      </w:tr>
      <w:tr>
        <w:tc>
          <w:tcPr>
            <w:tcW w:type="dxa" w:w="4320"/>
          </w:tcPr>
          <w:p>
            <w:r>
              <w:t>Target production</w:t>
            </w:r>
          </w:p>
        </w:tc>
        <w:tc>
          <w:tcPr>
            <w:tcW w:type="dxa" w:w="4320"/>
          </w:tcPr>
          <w:p>
            <w:r>
              <w:t>3,246,807.38 BOE</w:t>
            </w:r>
          </w:p>
        </w:tc>
      </w:tr>
      <w:tr>
        <w:tc>
          <w:tcPr>
            <w:tcW w:type="dxa" w:w="4320"/>
          </w:tcPr>
          <w:p>
            <w:r>
              <w:t>Operating cost</w:t>
            </w:r>
          </w:p>
        </w:tc>
        <w:tc>
          <w:tcPr>
            <w:tcW w:type="dxa" w:w="4320"/>
          </w:tcPr>
          <w:p>
            <w:r>
              <w:t>AED 19,063,774.05</w:t>
            </w:r>
          </w:p>
        </w:tc>
      </w:tr>
      <w:tr>
        <w:tc>
          <w:tcPr>
            <w:tcW w:type="dxa" w:w="4320"/>
          </w:tcPr>
          <w:p>
            <w:r>
              <w:t>Overall cost per BOE</w:t>
            </w:r>
          </w:p>
        </w:tc>
        <w:tc>
          <w:tcPr>
            <w:tcW w:type="dxa" w:w="4320"/>
          </w:tcPr>
          <w:p>
            <w:r>
              <w:t>Approximately AED 6.22</w:t>
            </w:r>
          </w:p>
        </w:tc>
      </w:tr>
    </w:tbl>
    <w:p>
      <w:r>
        <w:t>Baselines are source-level totals from the supplied project package and SQL screenshots; UAT outcomes require separate verification in the application.</w:t>
      </w:r>
    </w:p>
    <w:p>
      <w:pPr>
        <w:pStyle w:val="Heading1"/>
      </w:pPr>
      <w:r>
        <w:t>10. Acceptance Criteria</w:t>
      </w:r>
    </w:p>
    <w:p>
      <w:pPr>
        <w:pStyle w:val="ListBullet"/>
      </w:pPr>
      <w:r>
        <w:t>AC-01: Actual and target production totals match the same-filter source/SQL calculations within 0.01 BOE.</w:t>
      </w:r>
    </w:p>
    <w:p>
      <w:pPr>
        <w:pStyle w:val="ListBullet"/>
      </w:pPr>
      <w:r>
        <w:t>AC-02: Attainment % equals actual divided by target, with appropriate zero-denominator handling.</w:t>
      </w:r>
    </w:p>
    <w:p>
      <w:pPr>
        <w:pStyle w:val="ListBullet"/>
      </w:pPr>
      <w:r>
        <w:t>AC-03: Field/date filters affect intended visuals consistently.</w:t>
      </w:r>
    </w:p>
    <w:p>
      <w:pPr>
        <w:pStyle w:val="ListBullet"/>
      </w:pPr>
      <w:r>
        <w:t>AC-04: Downtime totals reconcile to 333 source events before filtering.</w:t>
      </w:r>
    </w:p>
    <w:p>
      <w:pPr>
        <w:pStyle w:val="ListBullet"/>
      </w:pPr>
      <w:r>
        <w:t>AC-05: Total operating cost reconciles to AED 19,063,774.05 before filtering; cost/BOE is a weighted ratio.</w:t>
      </w:r>
    </w:p>
    <w:p>
      <w:pPr>
        <w:pStyle w:val="ListBullet"/>
      </w:pPr>
      <w:r>
        <w:t>AC-06: Any drill-through or navigation described as functional has been tested and documented.</w:t>
      </w:r>
    </w:p>
    <w:p>
      <w:pPr>
        <w:pStyle w:val="ListBullet"/>
      </w:pPr>
      <w:r>
        <w:t>AC-07: README and deliverables disclose synthetic data and untested optional capabilities.</w:t>
      </w:r>
    </w:p>
    <w:p>
      <w:pPr>
        <w:pStyle w:val="Heading1"/>
      </w:pPr>
      <w:r>
        <w:t>11. Dependencies, Assumptions and Risks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Mitigation</w:t>
            </w:r>
          </w:p>
        </w:tc>
      </w:tr>
      <w:tr>
        <w:tc>
          <w:tcPr>
            <w:tcW w:type="dxa" w:w="4320"/>
          </w:tcPr>
          <w:p>
            <w:r>
              <w:t>Synthetic data only</w:t>
            </w:r>
          </w:p>
        </w:tc>
        <w:tc>
          <w:tcPr>
            <w:tcW w:type="dxa" w:w="4320"/>
          </w:tcPr>
          <w:p>
            <w:r>
              <w:t>Prominent fictional-case-study disclosure</w:t>
            </w:r>
          </w:p>
        </w:tc>
      </w:tr>
      <w:tr>
        <w:tc>
          <w:tcPr>
            <w:tcW w:type="dxa" w:w="4320"/>
          </w:tcPr>
          <w:p>
            <w:r>
              <w:t>BOE is illustrative</w:t>
            </w:r>
          </w:p>
        </w:tc>
        <w:tc>
          <w:tcPr>
            <w:tcW w:type="dxa" w:w="4320"/>
          </w:tcPr>
          <w:p>
            <w:r>
              <w:t>Avoid claims of audited oil/gas conversion</w:t>
            </w:r>
          </w:p>
        </w:tc>
      </w:tr>
      <w:tr>
        <w:tc>
          <w:tcPr>
            <w:tcW w:type="dxa" w:w="4320"/>
          </w:tcPr>
          <w:p>
            <w:r>
              <w:t>Filter-context mismatch</w:t>
            </w:r>
          </w:p>
        </w:tc>
        <w:tc>
          <w:tcPr>
            <w:tcW w:type="dxa" w:w="4320"/>
          </w:tcPr>
          <w:p>
            <w:r>
              <w:t>Validate date/field relationships for each fact table</w:t>
            </w:r>
          </w:p>
        </w:tc>
      </w:tr>
      <w:tr>
        <w:tc>
          <w:tcPr>
            <w:tcW w:type="dxa" w:w="4320"/>
          </w:tcPr>
          <w:p>
            <w:r>
              <w:t>Event loss vs production shortfall</w:t>
            </w:r>
          </w:p>
        </w:tc>
        <w:tc>
          <w:tcPr>
            <w:tcW w:type="dxa" w:w="4320"/>
          </w:tcPr>
          <w:p>
            <w:r>
              <w:t>Present as separate metrics; do not sum</w:t>
            </w:r>
          </w:p>
        </w:tc>
      </w:tr>
      <w:tr>
        <w:tc>
          <w:tcPr>
            <w:tcW w:type="dxa" w:w="4320"/>
          </w:tcPr>
          <w:p>
            <w:r>
              <w:t>Optional software licensing</w:t>
            </w:r>
          </w:p>
        </w:tc>
        <w:tc>
          <w:tcPr>
            <w:tcW w:type="dxa" w:w="4320"/>
          </w:tcPr>
          <w:p>
            <w:r>
              <w:t>Label MicroStrategy/Visio outputs as planned unless actually completed</w:t>
            </w:r>
          </w:p>
        </w:tc>
      </w:tr>
      <w:tr>
        <w:tc>
          <w:tcPr>
            <w:tcW w:type="dxa" w:w="4320"/>
          </w:tcPr>
          <w:p>
            <w:r>
              <w:t>UAT not fully executed</w:t>
            </w:r>
          </w:p>
        </w:tc>
        <w:tc>
          <w:tcPr>
            <w:tcW w:type="dxa" w:w="4320"/>
          </w:tcPr>
          <w:p>
            <w:r>
              <w:t>Record evidence and honest status before publishing</w:t>
            </w:r>
          </w:p>
        </w:tc>
      </w:tr>
    </w:tbl>
    <w:p>
      <w:pPr>
        <w:pStyle w:val="Heading1"/>
      </w:pPr>
      <w:r>
        <w:t>12. Deliverables and Approval Status</w:t>
      </w:r>
    </w:p>
    <w:p>
      <w:r>
        <w:t>Deliverables: Power BI report, SQL analytical queries, source QA log, BRD, FRD/SRS, stakeholder and RACI analysis, user stories, RTM, KPI catalog, UAT cases, diagrams and GitHub portfolio documentation. This BRD is a portfolio-ready working specification, not a signed business approval.</w:t>
      </w:r>
    </w:p>
    <w:p>
      <w:r>
        <w:t>Prepared for: fictional Gulf Horizon Energy case study  |  Approval status: Not formally approved</w:t>
      </w:r>
    </w:p>
    <w:sectPr w:rsidR="00FC693F" w:rsidRPr="0006063C" w:rsidSect="00034616">
      <w:footerReference w:type="default" r:id="rId9"/>
      <w:pgSz w:w="12240" w:h="15840"/>
      <w:pgMar w:top="1440" w:right="1800" w:bottom="1440"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Gulf Horizon Energy  •  Synthetic portfolio case study  •  BRD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2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