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Stakeholder RACI UAT Defect Log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Stakeholders, RACI, UAT and Defect 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COO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Production Manager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Reliability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Finance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BI Analyst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KPI signoff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Data mapping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R/A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Dashboard UAT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  <w:t>R</w:t>
            </w:r>
          </w:p>
        </w:tc>
      </w:tr>
    </w:tbl>
    <w:p>
      <w:r>
        <w:t>R=Responsible, A=Accountable, C=Consulted, I=Informed. Fictional example only.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Steps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Filter Jan; compare actual with SQL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Matches to 0.01 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Filter Field 02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Only 8 wells shown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Click downtime reason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Event visuals cross-filter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Drill-through selected well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Context retained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Compare Cost/BOE with SQL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Within 0.01 AED/BOE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Change scenario parameter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Only scenario metrics change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UAT-07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Compare MicroStrategy scorecard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Same totals under same filters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UAT-08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Navigate and reset slicers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Correct page/filter state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NOT RUN</w:t>
            </w:r>
          </w:p>
        </w:tc>
      </w:tr>
    </w:tbl>
    <w:p>
      <w:r>
        <w:t>Defect log fields: DefectID, Date, Page, Severity, Repro Steps, Expected, Actual, Owner, Status, Screenshot. Do not mark tests PASS until verified in the actual application.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