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627AA" w14:textId="77777777" w:rsidR="006637FD" w:rsidRPr="00165011" w:rsidRDefault="006637FD" w:rsidP="006637FD">
      <w:pPr>
        <w:pStyle w:val="NormalWeb"/>
        <w:spacing w:after="120" w:afterAutospacing="0"/>
        <w:rPr>
          <w:rFonts w:ascii="Comic Sans MS" w:hAnsi="Comic Sans MS"/>
        </w:rPr>
      </w:pPr>
      <w:r w:rsidRPr="00165011">
        <w:rPr>
          <w:rStyle w:val="Strong"/>
          <w:rFonts w:ascii="Comic Sans MS" w:hAnsi="Comic Sans MS"/>
        </w:rPr>
        <w:t>Part 1: Azure Infrastructure Configuration</w:t>
      </w:r>
    </w:p>
    <w:p w14:paraId="38AC95FA" w14:textId="77777777" w:rsidR="006637FD" w:rsidRPr="00165011" w:rsidRDefault="006637FD" w:rsidP="006637FD">
      <w:pPr>
        <w:pStyle w:val="NormalWeb"/>
        <w:spacing w:after="120" w:afterAutospacing="0"/>
        <w:rPr>
          <w:rFonts w:ascii="Comic Sans MS" w:hAnsi="Comic Sans MS"/>
        </w:rPr>
      </w:pPr>
      <w:r w:rsidRPr="00165011">
        <w:rPr>
          <w:rStyle w:val="Strong"/>
          <w:rFonts w:ascii="Comic Sans MS" w:hAnsi="Comic Sans MS"/>
        </w:rPr>
        <w:t>Task 1.1: Create Resource groups based on different environments (e.g., Development, Testing, Production). Explain the organizational benefits of using Resource Groups.</w:t>
      </w:r>
    </w:p>
    <w:p w14:paraId="00CC1F04" w14:textId="77777777" w:rsidR="006637FD" w:rsidRPr="00165011" w:rsidRDefault="006637FD" w:rsidP="006637FD">
      <w:pPr>
        <w:rPr>
          <w:rFonts w:ascii="Comic Sans MS" w:hAnsi="Comic Sans MS"/>
          <w:noProof/>
        </w:rPr>
      </w:pPr>
    </w:p>
    <w:p w14:paraId="4EB2EAB3" w14:textId="77777777" w:rsidR="006637FD" w:rsidRDefault="006637FD" w:rsidP="006637FD">
      <w:pPr>
        <w:rPr>
          <w:noProof/>
        </w:rPr>
      </w:pPr>
    </w:p>
    <w:p w14:paraId="11EA78EB" w14:textId="3D41BCAE" w:rsidR="006637FD" w:rsidRDefault="006637FD" w:rsidP="006637FD">
      <w:r>
        <w:rPr>
          <w:noProof/>
        </w:rPr>
        <w:drawing>
          <wp:inline distT="0" distB="0" distL="0" distR="0" wp14:anchorId="4B9ECD0F" wp14:editId="4096C2B4">
            <wp:extent cx="5970494" cy="2743200"/>
            <wp:effectExtent l="76200" t="76200" r="125730" b="13335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4" cstate="print">
                      <a:extLst>
                        <a:ext uri="{28A0092B-C50C-407E-A947-70E740481C1C}">
                          <a14:useLocalDpi xmlns:a14="http://schemas.microsoft.com/office/drawing/2010/main" val="0"/>
                        </a:ext>
                      </a:extLst>
                    </a:blip>
                    <a:srcRect l="333" t="16152" r="17681" b="16880"/>
                    <a:stretch/>
                  </pic:blipFill>
                  <pic:spPr bwMode="auto">
                    <a:xfrm>
                      <a:off x="0" y="0"/>
                      <a:ext cx="5974975" cy="27452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72FB809" w14:textId="77777777" w:rsidR="00D969B6" w:rsidRPr="00D969B6" w:rsidRDefault="00D969B6" w:rsidP="00D969B6">
      <w:pPr>
        <w:pStyle w:val="NormalWeb"/>
        <w:rPr>
          <w:rFonts w:ascii="Comic Sans MS" w:hAnsi="Comic Sans MS"/>
          <w:color w:val="4472C4" w:themeColor="accent1"/>
        </w:rPr>
      </w:pPr>
      <w:r w:rsidRPr="00D969B6">
        <w:rPr>
          <w:rStyle w:val="Strong"/>
          <w:rFonts w:ascii="Comic Sans MS" w:hAnsi="Comic Sans MS"/>
          <w:color w:val="4472C4" w:themeColor="accent1"/>
        </w:rPr>
        <w:t>Resource group</w:t>
      </w:r>
      <w:r w:rsidRPr="00D969B6">
        <w:rPr>
          <w:rFonts w:ascii="Comic Sans MS" w:hAnsi="Comic Sans MS"/>
          <w:color w:val="4472C4" w:themeColor="accent1"/>
        </w:rPr>
        <w:t> is a container that holds related resources for an Azure solution. The resource group includes those resources that we would want to manage as a group. Based on what makes the most sense for our organization, we can decide which resources belong in a resource group.</w:t>
      </w:r>
    </w:p>
    <w:p w14:paraId="6CB4075C" w14:textId="77777777" w:rsidR="00D969B6" w:rsidRPr="00D969B6" w:rsidRDefault="00D969B6" w:rsidP="00D969B6">
      <w:pPr>
        <w:pStyle w:val="NormalWeb"/>
        <w:rPr>
          <w:rFonts w:ascii="Comic Sans MS" w:hAnsi="Comic Sans MS"/>
          <w:color w:val="4472C4" w:themeColor="accent1"/>
        </w:rPr>
      </w:pPr>
      <w:r w:rsidRPr="00D969B6">
        <w:rPr>
          <w:rFonts w:ascii="Comic Sans MS" w:hAnsi="Comic Sans MS"/>
          <w:color w:val="4472C4" w:themeColor="accent1"/>
        </w:rPr>
        <w:t xml:space="preserve">A </w:t>
      </w:r>
      <w:r w:rsidRPr="00D969B6">
        <w:rPr>
          <w:rStyle w:val="Strong"/>
          <w:rFonts w:ascii="Comic Sans MS" w:hAnsi="Comic Sans MS"/>
          <w:color w:val="4472C4" w:themeColor="accent1"/>
        </w:rPr>
        <w:t>resource</w:t>
      </w:r>
      <w:r w:rsidRPr="00D969B6">
        <w:rPr>
          <w:rFonts w:ascii="Comic Sans MS" w:hAnsi="Comic Sans MS"/>
          <w:color w:val="4472C4" w:themeColor="accent1"/>
        </w:rPr>
        <w:t> is a manageable item that is available through Azure. Virtual machines, storage accounts, web apps, databases, and virtual networks are examples of resources.</w:t>
      </w:r>
    </w:p>
    <w:p w14:paraId="518B494F" w14:textId="77777777" w:rsidR="00D969B6" w:rsidRPr="00D969B6" w:rsidRDefault="00D969B6" w:rsidP="00D969B6">
      <w:pPr>
        <w:pStyle w:val="NormalWeb"/>
        <w:rPr>
          <w:rFonts w:ascii="Comic Sans MS" w:hAnsi="Comic Sans MS"/>
          <w:color w:val="4472C4" w:themeColor="accent1"/>
        </w:rPr>
      </w:pPr>
      <w:r w:rsidRPr="00D969B6">
        <w:rPr>
          <w:rStyle w:val="Strong"/>
          <w:rFonts w:ascii="Comic Sans MS" w:hAnsi="Comic Sans MS"/>
          <w:color w:val="4472C4" w:themeColor="accent1"/>
        </w:rPr>
        <w:t>Organizational benefits of using Resource Groups:</w:t>
      </w:r>
    </w:p>
    <w:p w14:paraId="67884353" w14:textId="77777777" w:rsidR="00D969B6" w:rsidRPr="00D969B6" w:rsidRDefault="00D969B6" w:rsidP="00D969B6">
      <w:pPr>
        <w:pStyle w:val="NormalWeb"/>
        <w:rPr>
          <w:rFonts w:ascii="Comic Sans MS" w:hAnsi="Comic Sans MS"/>
          <w:color w:val="4472C4" w:themeColor="accent1"/>
        </w:rPr>
      </w:pPr>
      <w:r w:rsidRPr="00D969B6">
        <w:rPr>
          <w:rFonts w:ascii="Comic Sans MS" w:hAnsi="Comic Sans MS"/>
          <w:color w:val="4472C4" w:themeColor="accent1"/>
        </w:rPr>
        <w:t>By using resource groups, we can coordinate changes to the related resources.</w:t>
      </w:r>
    </w:p>
    <w:p w14:paraId="718BA902" w14:textId="77777777" w:rsidR="00D969B6" w:rsidRPr="00D969B6" w:rsidRDefault="00D969B6" w:rsidP="00D969B6">
      <w:pPr>
        <w:pStyle w:val="NormalWeb"/>
        <w:rPr>
          <w:rFonts w:ascii="Comic Sans MS" w:hAnsi="Comic Sans MS"/>
          <w:color w:val="4472C4" w:themeColor="accent1"/>
        </w:rPr>
      </w:pPr>
      <w:r w:rsidRPr="00D969B6">
        <w:rPr>
          <w:rFonts w:ascii="Comic Sans MS" w:hAnsi="Comic Sans MS"/>
          <w:color w:val="4472C4" w:themeColor="accent1"/>
        </w:rPr>
        <w:t>For example, we can deploy an update to the resource group and have confidence that the resources are updated in a coordinated operation.</w:t>
      </w:r>
    </w:p>
    <w:p w14:paraId="3C122680" w14:textId="16064DEC" w:rsidR="006637FD" w:rsidRPr="00D969B6" w:rsidRDefault="00D969B6" w:rsidP="00D969B6">
      <w:pPr>
        <w:pStyle w:val="NormalWeb"/>
        <w:rPr>
          <w:rFonts w:ascii="Comic Sans MS" w:hAnsi="Comic Sans MS"/>
          <w:color w:val="4472C4" w:themeColor="accent1"/>
        </w:rPr>
      </w:pPr>
      <w:r w:rsidRPr="00D969B6">
        <w:rPr>
          <w:rFonts w:ascii="Comic Sans MS" w:hAnsi="Comic Sans MS"/>
          <w:color w:val="4472C4" w:themeColor="accent1"/>
        </w:rPr>
        <w:t>Or, when we’re finished with the solution, we can delete the resource group and know that all of the resources are deleted.</w:t>
      </w:r>
    </w:p>
    <w:p w14:paraId="20D8DDAD" w14:textId="77777777" w:rsidR="006637FD" w:rsidRDefault="006637FD" w:rsidP="006637FD"/>
    <w:p w14:paraId="22033D5E" w14:textId="77777777" w:rsidR="00165011" w:rsidRPr="00165011" w:rsidRDefault="006637FD" w:rsidP="006637FD">
      <w:pPr>
        <w:rPr>
          <w:rStyle w:val="Strong"/>
          <w:rFonts w:ascii="Comic Sans MS" w:hAnsi="Comic Sans MS"/>
          <w:sz w:val="24"/>
          <w:szCs w:val="24"/>
        </w:rPr>
      </w:pPr>
      <w:r w:rsidRPr="00165011">
        <w:rPr>
          <w:rStyle w:val="Strong"/>
          <w:rFonts w:ascii="Comic Sans MS" w:hAnsi="Comic Sans MS"/>
          <w:sz w:val="24"/>
          <w:szCs w:val="24"/>
        </w:rPr>
        <w:lastRenderedPageBreak/>
        <w:t>Task 1.2:</w:t>
      </w:r>
    </w:p>
    <w:p w14:paraId="7847C46D" w14:textId="2BD4E934" w:rsidR="006637FD" w:rsidRPr="00165011" w:rsidRDefault="006637FD" w:rsidP="006637FD">
      <w:pPr>
        <w:rPr>
          <w:rStyle w:val="Strong"/>
          <w:rFonts w:ascii="Comic Sans MS" w:hAnsi="Comic Sans MS"/>
          <w:sz w:val="24"/>
          <w:szCs w:val="24"/>
        </w:rPr>
      </w:pPr>
      <w:r w:rsidRPr="00165011">
        <w:rPr>
          <w:rStyle w:val="Strong"/>
          <w:rFonts w:ascii="Comic Sans MS" w:hAnsi="Comic Sans MS"/>
          <w:sz w:val="24"/>
          <w:szCs w:val="24"/>
        </w:rPr>
        <w:t xml:space="preserve"> Explore and document the purpose and usage of Availability Zones and Availability Sets in ensuring application reliability, without creating VMs.</w:t>
      </w:r>
    </w:p>
    <w:tbl>
      <w:tblPr>
        <w:tblStyle w:val="TableGrid"/>
        <w:tblW w:w="0" w:type="auto"/>
        <w:tblLook w:val="04A0" w:firstRow="1" w:lastRow="0" w:firstColumn="1" w:lastColumn="0" w:noHBand="0" w:noVBand="1"/>
      </w:tblPr>
      <w:tblGrid>
        <w:gridCol w:w="9016"/>
      </w:tblGrid>
      <w:tr w:rsidR="008D7F55" w14:paraId="51FA0BFF" w14:textId="77777777" w:rsidTr="008D7F55">
        <w:tc>
          <w:tcPr>
            <w:tcW w:w="9016" w:type="dxa"/>
          </w:tcPr>
          <w:p w14:paraId="42EFB15C" w14:textId="77777777" w:rsidR="008D7F55" w:rsidRDefault="008D7F55" w:rsidP="008D7F55">
            <w:pPr>
              <w:rPr>
                <w:rStyle w:val="Strong"/>
                <w:color w:val="4472C4" w:themeColor="accent1"/>
                <w:sz w:val="28"/>
                <w:szCs w:val="28"/>
              </w:rPr>
            </w:pPr>
          </w:p>
          <w:p w14:paraId="03E7C5BE" w14:textId="55328356" w:rsidR="00165011" w:rsidRDefault="008D7F55" w:rsidP="008D7F55">
            <w:pPr>
              <w:rPr>
                <w:rStyle w:val="Strong"/>
                <w:color w:val="4472C4" w:themeColor="accent1"/>
                <w:sz w:val="28"/>
                <w:szCs w:val="28"/>
              </w:rPr>
            </w:pPr>
            <w:r w:rsidRPr="008D7F55">
              <w:rPr>
                <w:rStyle w:val="Strong"/>
                <w:color w:val="4472C4" w:themeColor="accent1"/>
                <w:sz w:val="28"/>
                <w:szCs w:val="28"/>
              </w:rPr>
              <w:t xml:space="preserve">Virtual Machine </w:t>
            </w:r>
            <w:r>
              <w:rPr>
                <w:rStyle w:val="Strong"/>
                <w:color w:val="4472C4" w:themeColor="accent1"/>
                <w:sz w:val="28"/>
                <w:szCs w:val="28"/>
              </w:rPr>
              <w:t>in</w:t>
            </w:r>
            <w:r w:rsidRPr="008D7F55">
              <w:rPr>
                <w:rStyle w:val="Strong"/>
                <w:color w:val="4472C4" w:themeColor="accent1"/>
                <w:sz w:val="28"/>
                <w:szCs w:val="28"/>
              </w:rPr>
              <w:t xml:space="preserve"> Availability Zone</w:t>
            </w:r>
          </w:p>
          <w:p w14:paraId="3B4A48BA" w14:textId="77777777" w:rsidR="00165011" w:rsidRPr="008D7F55" w:rsidRDefault="00165011" w:rsidP="008D7F55">
            <w:pPr>
              <w:rPr>
                <w:rStyle w:val="Strong"/>
                <w:color w:val="4472C4" w:themeColor="accent1"/>
                <w:sz w:val="28"/>
                <w:szCs w:val="28"/>
              </w:rPr>
            </w:pPr>
          </w:p>
          <w:p w14:paraId="437A185B" w14:textId="77777777" w:rsidR="008D7F55" w:rsidRDefault="008D7F55" w:rsidP="008D7F55">
            <w:r w:rsidRPr="006637FD">
              <w:drawing>
                <wp:inline distT="0" distB="0" distL="0" distR="0" wp14:anchorId="7E8CBC2E" wp14:editId="2CC83648">
                  <wp:extent cx="5361694" cy="2660650"/>
                  <wp:effectExtent l="76200" t="76200" r="125095" b="13970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a:stretch>
                            <a:fillRect/>
                          </a:stretch>
                        </pic:blipFill>
                        <pic:spPr>
                          <a:xfrm>
                            <a:off x="0" y="0"/>
                            <a:ext cx="5370707" cy="26651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0531FA" w14:textId="77777777" w:rsidR="008D7F55" w:rsidRDefault="008D7F55" w:rsidP="008D7F55"/>
          <w:p w14:paraId="186CF28F" w14:textId="77777777" w:rsidR="00165011" w:rsidRDefault="00165011" w:rsidP="008D7F55"/>
          <w:p w14:paraId="32C538F3" w14:textId="77777777" w:rsidR="00165011" w:rsidRDefault="00165011" w:rsidP="008D7F55"/>
          <w:p w14:paraId="0ACFE19E" w14:textId="77777777" w:rsidR="00165011" w:rsidRDefault="00165011" w:rsidP="008D7F55"/>
          <w:p w14:paraId="33FF8047" w14:textId="77777777" w:rsidR="00165011" w:rsidRDefault="00165011" w:rsidP="008D7F55"/>
          <w:p w14:paraId="685B1245" w14:textId="77777777" w:rsidR="008D7F55" w:rsidRDefault="008D7F55" w:rsidP="008D7F55">
            <w:r w:rsidRPr="008D7F55">
              <w:drawing>
                <wp:inline distT="0" distB="0" distL="0" distR="0" wp14:anchorId="6DC6A495" wp14:editId="7C5C5C5C">
                  <wp:extent cx="5372100" cy="2359296"/>
                  <wp:effectExtent l="76200" t="76200" r="133350" b="136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6"/>
                          <a:stretch>
                            <a:fillRect/>
                          </a:stretch>
                        </pic:blipFill>
                        <pic:spPr>
                          <a:xfrm>
                            <a:off x="0" y="0"/>
                            <a:ext cx="5390662" cy="23674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D8C1BA" w14:textId="77777777" w:rsidR="008D7F55" w:rsidRDefault="008D7F55" w:rsidP="008D7F55"/>
          <w:p w14:paraId="558C7101" w14:textId="77777777" w:rsidR="008D7F55" w:rsidRDefault="008D7F55" w:rsidP="006637FD"/>
          <w:p w14:paraId="05420D04" w14:textId="77777777" w:rsidR="00165011" w:rsidRDefault="00165011" w:rsidP="006637FD"/>
        </w:tc>
      </w:tr>
    </w:tbl>
    <w:p w14:paraId="4A2834CB" w14:textId="15BEAA0C" w:rsidR="008D7F55" w:rsidRDefault="008D7F55" w:rsidP="006637FD"/>
    <w:tbl>
      <w:tblPr>
        <w:tblStyle w:val="TableGrid"/>
        <w:tblW w:w="0" w:type="auto"/>
        <w:tblLook w:val="04A0" w:firstRow="1" w:lastRow="0" w:firstColumn="1" w:lastColumn="0" w:noHBand="0" w:noVBand="1"/>
      </w:tblPr>
      <w:tblGrid>
        <w:gridCol w:w="9016"/>
      </w:tblGrid>
      <w:tr w:rsidR="00165011" w14:paraId="5E0FCFA5" w14:textId="77777777" w:rsidTr="00165011">
        <w:tc>
          <w:tcPr>
            <w:tcW w:w="9016" w:type="dxa"/>
          </w:tcPr>
          <w:p w14:paraId="51D6C33D" w14:textId="77777777" w:rsidR="00165011" w:rsidRDefault="00165011" w:rsidP="00165011">
            <w:pPr>
              <w:rPr>
                <w:rStyle w:val="Strong"/>
                <w:color w:val="4472C4" w:themeColor="accent1"/>
                <w:sz w:val="28"/>
                <w:szCs w:val="28"/>
              </w:rPr>
            </w:pPr>
          </w:p>
          <w:p w14:paraId="01ECB755" w14:textId="77777777" w:rsidR="00165011" w:rsidRDefault="00165011" w:rsidP="00165011">
            <w:pPr>
              <w:rPr>
                <w:rStyle w:val="Strong"/>
                <w:color w:val="4472C4" w:themeColor="accent1"/>
                <w:sz w:val="28"/>
                <w:szCs w:val="28"/>
              </w:rPr>
            </w:pPr>
            <w:r w:rsidRPr="008D7F55">
              <w:rPr>
                <w:rStyle w:val="Strong"/>
                <w:color w:val="4472C4" w:themeColor="accent1"/>
                <w:sz w:val="28"/>
                <w:szCs w:val="28"/>
              </w:rPr>
              <w:t xml:space="preserve">Virtual Machine </w:t>
            </w:r>
            <w:r>
              <w:rPr>
                <w:rStyle w:val="Strong"/>
                <w:color w:val="4472C4" w:themeColor="accent1"/>
                <w:sz w:val="28"/>
                <w:szCs w:val="28"/>
              </w:rPr>
              <w:t>in</w:t>
            </w:r>
            <w:r w:rsidRPr="008D7F55">
              <w:rPr>
                <w:rStyle w:val="Strong"/>
                <w:color w:val="4472C4" w:themeColor="accent1"/>
                <w:sz w:val="28"/>
                <w:szCs w:val="28"/>
              </w:rPr>
              <w:t xml:space="preserve"> Availability </w:t>
            </w:r>
            <w:r>
              <w:rPr>
                <w:rStyle w:val="Strong"/>
                <w:color w:val="4472C4" w:themeColor="accent1"/>
                <w:sz w:val="28"/>
                <w:szCs w:val="28"/>
              </w:rPr>
              <w:t>Set</w:t>
            </w:r>
          </w:p>
          <w:p w14:paraId="7141E5CF" w14:textId="77777777" w:rsidR="00165011" w:rsidRDefault="00165011" w:rsidP="00165011">
            <w:pPr>
              <w:rPr>
                <w:rStyle w:val="Strong"/>
                <w:color w:val="4472C4" w:themeColor="accent1"/>
                <w:sz w:val="28"/>
                <w:szCs w:val="28"/>
              </w:rPr>
            </w:pPr>
          </w:p>
          <w:p w14:paraId="081A1D4E" w14:textId="77777777" w:rsidR="00165011" w:rsidRDefault="00165011" w:rsidP="00165011">
            <w:pPr>
              <w:rPr>
                <w:rStyle w:val="Strong"/>
                <w:color w:val="4472C4" w:themeColor="accent1"/>
                <w:sz w:val="28"/>
                <w:szCs w:val="28"/>
              </w:rPr>
            </w:pPr>
            <w:r w:rsidRPr="008D7F55">
              <w:rPr>
                <w:rStyle w:val="Strong"/>
                <w:color w:val="4472C4" w:themeColor="accent1"/>
                <w:sz w:val="28"/>
                <w:szCs w:val="28"/>
              </w:rPr>
              <w:drawing>
                <wp:inline distT="0" distB="0" distL="0" distR="0" wp14:anchorId="5BBD158A" wp14:editId="7FF03628">
                  <wp:extent cx="5368428" cy="2628900"/>
                  <wp:effectExtent l="76200" t="76200" r="13716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491" cy="2630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EEE68E" w14:textId="2B9873E5" w:rsidR="00165011" w:rsidRDefault="00165011" w:rsidP="00165011">
            <w:r w:rsidRPr="008D7F55">
              <w:drawing>
                <wp:inline distT="0" distB="0" distL="0" distR="0" wp14:anchorId="3D5A935E" wp14:editId="56D45A49">
                  <wp:extent cx="5308876" cy="2273300"/>
                  <wp:effectExtent l="76200" t="76200" r="139700" b="1270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920"/>
                          <a:stretch/>
                        </pic:blipFill>
                        <pic:spPr bwMode="auto">
                          <a:xfrm>
                            <a:off x="0" y="0"/>
                            <a:ext cx="5310422" cy="22739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bl>
    <w:p w14:paraId="321CACCD" w14:textId="77777777" w:rsidR="00165011" w:rsidRDefault="00165011" w:rsidP="006637FD"/>
    <w:p w14:paraId="5E95BDC2" w14:textId="77777777" w:rsidR="00D969B6" w:rsidRDefault="00D969B6" w:rsidP="006637FD"/>
    <w:p w14:paraId="711ABA19" w14:textId="77777777" w:rsidR="00D969B6" w:rsidRPr="00D969B6" w:rsidRDefault="00D969B6" w:rsidP="00D969B6">
      <w:pPr>
        <w:pStyle w:val="NormalWeb"/>
        <w:rPr>
          <w:rFonts w:ascii="Comic Sans MS" w:hAnsi="Comic Sans MS"/>
          <w:color w:val="4472C4" w:themeColor="accent1"/>
        </w:rPr>
      </w:pPr>
      <w:r w:rsidRPr="00D969B6">
        <w:rPr>
          <w:rStyle w:val="Strong"/>
          <w:rFonts w:ascii="Comic Sans MS" w:hAnsi="Comic Sans MS"/>
          <w:color w:val="4472C4" w:themeColor="accent1"/>
        </w:rPr>
        <w:t>Availability sets</w:t>
      </w:r>
      <w:r w:rsidRPr="00D969B6">
        <w:rPr>
          <w:rFonts w:ascii="Comic Sans MS" w:hAnsi="Comic Sans MS"/>
          <w:color w:val="4472C4" w:themeColor="accent1"/>
        </w:rPr>
        <w:t> are logical groupings of VMs that reduce the chance of correlated failures bringing down related VMs at the same time. Availability sets place VMs in different fault domains for better reliability.</w:t>
      </w:r>
    </w:p>
    <w:p w14:paraId="2962429A" w14:textId="77777777" w:rsidR="00D969B6" w:rsidRPr="00D969B6" w:rsidRDefault="00D969B6" w:rsidP="00D969B6">
      <w:pPr>
        <w:pStyle w:val="NormalWeb"/>
        <w:rPr>
          <w:rFonts w:ascii="Comic Sans MS" w:hAnsi="Comic Sans MS"/>
          <w:color w:val="4472C4" w:themeColor="accent1"/>
        </w:rPr>
      </w:pPr>
      <w:r w:rsidRPr="00D969B6">
        <w:rPr>
          <w:rFonts w:ascii="Comic Sans MS" w:hAnsi="Comic Sans MS"/>
          <w:color w:val="4472C4" w:themeColor="accent1"/>
        </w:rPr>
        <w:t>Availability sets have fault isolation for many possible failures, minimizing single points of failure, and offering high availability. Availability sets are still susceptible to certain shared infrastructure failures, like datacenter network failures, which can affect multiple fault domains.</w:t>
      </w:r>
    </w:p>
    <w:p w14:paraId="39A1C89D" w14:textId="77777777" w:rsidR="00D969B6" w:rsidRPr="00D969B6" w:rsidRDefault="00D969B6" w:rsidP="00D969B6">
      <w:pPr>
        <w:pStyle w:val="NormalWeb"/>
        <w:rPr>
          <w:rFonts w:ascii="Comic Sans MS" w:hAnsi="Comic Sans MS"/>
          <w:color w:val="4472C4" w:themeColor="accent1"/>
        </w:rPr>
      </w:pPr>
      <w:r w:rsidRPr="00D969B6">
        <w:rPr>
          <w:rFonts w:ascii="Comic Sans MS" w:hAnsi="Comic Sans MS"/>
          <w:color w:val="4472C4" w:themeColor="accent1"/>
        </w:rPr>
        <w:t> </w:t>
      </w:r>
    </w:p>
    <w:p w14:paraId="0E9A117F" w14:textId="77777777" w:rsidR="00D969B6" w:rsidRPr="00D969B6" w:rsidRDefault="00D969B6" w:rsidP="00D969B6">
      <w:pPr>
        <w:pStyle w:val="NormalWeb"/>
        <w:rPr>
          <w:rFonts w:ascii="Comic Sans MS" w:hAnsi="Comic Sans MS"/>
          <w:color w:val="4472C4" w:themeColor="accent1"/>
        </w:rPr>
      </w:pPr>
      <w:r w:rsidRPr="00D969B6">
        <w:rPr>
          <w:rStyle w:val="Strong"/>
          <w:rFonts w:ascii="Comic Sans MS" w:hAnsi="Comic Sans MS"/>
          <w:color w:val="4472C4" w:themeColor="accent1"/>
        </w:rPr>
        <w:lastRenderedPageBreak/>
        <w:t>Availability zones</w:t>
      </w:r>
      <w:r w:rsidRPr="00D969B6">
        <w:rPr>
          <w:rFonts w:ascii="Comic Sans MS" w:hAnsi="Comic Sans MS"/>
          <w:color w:val="4472C4" w:themeColor="accent1"/>
        </w:rPr>
        <w:t> expands the level of control we have to maintain the availability of the applications and data on our VMs. An Availability Zone is a physically separate zone, within an Azure region. There are three Availability Zones per supported Azure region.</w:t>
      </w:r>
    </w:p>
    <w:p w14:paraId="479DDC2D" w14:textId="77777777" w:rsidR="00D969B6" w:rsidRPr="00D969B6" w:rsidRDefault="00D969B6" w:rsidP="00D969B6">
      <w:pPr>
        <w:pStyle w:val="NormalWeb"/>
        <w:rPr>
          <w:rFonts w:ascii="Comic Sans MS" w:hAnsi="Comic Sans MS"/>
          <w:color w:val="4472C4" w:themeColor="accent1"/>
        </w:rPr>
      </w:pPr>
      <w:r w:rsidRPr="00D969B6">
        <w:rPr>
          <w:rFonts w:ascii="Comic Sans MS" w:hAnsi="Comic Sans MS"/>
          <w:color w:val="4472C4" w:themeColor="accent1"/>
        </w:rPr>
        <w:t> </w:t>
      </w:r>
    </w:p>
    <w:p w14:paraId="0E14762E" w14:textId="77777777" w:rsidR="00D969B6" w:rsidRPr="00D969B6" w:rsidRDefault="00D969B6" w:rsidP="00D969B6">
      <w:pPr>
        <w:pStyle w:val="NormalWeb"/>
        <w:rPr>
          <w:rFonts w:ascii="Comic Sans MS" w:hAnsi="Comic Sans MS"/>
          <w:color w:val="4472C4" w:themeColor="accent1"/>
        </w:rPr>
      </w:pPr>
      <w:r w:rsidRPr="00D969B6">
        <w:rPr>
          <w:rFonts w:ascii="Comic Sans MS" w:hAnsi="Comic Sans MS"/>
          <w:color w:val="4472C4" w:themeColor="accent1"/>
        </w:rPr>
        <w:t>Each Availability Zone has a distinct power source, network, and cooling. By designing our solutions to use replicated VMs in zones, we can protect our apps and data from the loss of a data center. If one zone is compromised, then replicated apps and data are instantly available in another zone.</w:t>
      </w:r>
    </w:p>
    <w:p w14:paraId="06F744C6" w14:textId="77777777" w:rsidR="00D969B6" w:rsidRPr="006637FD" w:rsidRDefault="00D969B6" w:rsidP="006637FD"/>
    <w:sectPr w:rsidR="00D969B6" w:rsidRPr="00663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FD"/>
    <w:rsid w:val="001448C6"/>
    <w:rsid w:val="00165011"/>
    <w:rsid w:val="006637FD"/>
    <w:rsid w:val="00705CA4"/>
    <w:rsid w:val="008D7F55"/>
    <w:rsid w:val="00D969B6"/>
    <w:rsid w:val="00ED6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DDFE"/>
  <w15:chartTrackingRefBased/>
  <w15:docId w15:val="{05DA4586-59C1-41B2-AFBD-735E3994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F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37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637FD"/>
    <w:rPr>
      <w:b/>
      <w:bCs/>
    </w:rPr>
  </w:style>
  <w:style w:type="table" w:styleId="TableGrid">
    <w:name w:val="Table Grid"/>
    <w:basedOn w:val="TableNormal"/>
    <w:uiPriority w:val="39"/>
    <w:rsid w:val="008D7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14756">
      <w:bodyDiv w:val="1"/>
      <w:marLeft w:val="0"/>
      <w:marRight w:val="0"/>
      <w:marTop w:val="0"/>
      <w:marBottom w:val="0"/>
      <w:divBdr>
        <w:top w:val="none" w:sz="0" w:space="0" w:color="auto"/>
        <w:left w:val="none" w:sz="0" w:space="0" w:color="auto"/>
        <w:bottom w:val="none" w:sz="0" w:space="0" w:color="auto"/>
        <w:right w:val="none" w:sz="0" w:space="0" w:color="auto"/>
      </w:divBdr>
    </w:div>
    <w:div w:id="1183086981">
      <w:bodyDiv w:val="1"/>
      <w:marLeft w:val="0"/>
      <w:marRight w:val="0"/>
      <w:marTop w:val="0"/>
      <w:marBottom w:val="0"/>
      <w:divBdr>
        <w:top w:val="none" w:sz="0" w:space="0" w:color="auto"/>
        <w:left w:val="none" w:sz="0" w:space="0" w:color="auto"/>
        <w:bottom w:val="none" w:sz="0" w:space="0" w:color="auto"/>
        <w:right w:val="none" w:sz="0" w:space="0" w:color="auto"/>
      </w:divBdr>
    </w:div>
    <w:div w:id="180974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Shruti</dc:creator>
  <cp:keywords/>
  <dc:description/>
  <cp:lastModifiedBy>Kumari, Shruti</cp:lastModifiedBy>
  <cp:revision>2</cp:revision>
  <dcterms:created xsi:type="dcterms:W3CDTF">2024-02-15T10:31:00Z</dcterms:created>
  <dcterms:modified xsi:type="dcterms:W3CDTF">2024-02-15T10:57:00Z</dcterms:modified>
</cp:coreProperties>
</file>