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9"/>
          <w:sz w:val="44"/>
        </w:rPr>
        <w:t>Orbis Consulting Pvt Ltd</w:t>
      </w:r>
    </w:p>
    <w:p>
      <w:r>
        <w:rPr>
          <w:color w:val="C85A32"/>
          <w:sz w:val="24"/>
        </w:rPr>
        <w:t>Travel and Expense Policy  |  Version 1.3  |  Effective 1 April 2025</w:t>
      </w:r>
    </w:p>
    <w:p>
      <w:r>
        <w:rPr>
          <w:i/>
        </w:rPr>
        <w:t>Fictional document created for Claude training exercises. Not a real company policy.</w:t>
      </w:r>
    </w:p>
    <w:p>
      <w:pPr>
        <w:pStyle w:val="Heading1"/>
      </w:pPr>
      <w:r>
        <w:t>1. Purpose and Scope</w:t>
      </w:r>
    </w:p>
    <w:p>
      <w:r>
        <w:t>This policy sets out how employees of Orbis Consulting book business travel and claim reimbursement for expenses incurred on company business. It applies to all permanent employees and fixed-term contractors travelling within India or overseas.</w:t>
      </w:r>
    </w:p>
    <w:p>
      <w:pPr>
        <w:pStyle w:val="Heading1"/>
      </w:pPr>
      <w:r>
        <w:t>2. Approvals</w:t>
      </w:r>
    </w:p>
    <w:p>
      <w:pPr>
        <w:pStyle w:val="ListBullet"/>
      </w:pPr>
      <w:r>
        <w:t>All travel must be approved in the travel portal by the employee's reporting manager before any booking is made.</w:t>
      </w:r>
    </w:p>
    <w:p>
      <w:pPr>
        <w:pStyle w:val="ListBullet"/>
      </w:pPr>
      <w:r>
        <w:t>Trips with an estimated total cost above INR 1,00,000 also require approval from the Business Unit Head.</w:t>
      </w:r>
    </w:p>
    <w:p>
      <w:pPr>
        <w:pStyle w:val="ListBullet"/>
      </w:pPr>
      <w:r>
        <w:t>International travel requires additional approval from the Finance Controller.</w:t>
      </w:r>
    </w:p>
    <w:p>
      <w:pPr>
        <w:pStyle w:val="Heading1"/>
      </w:pPr>
      <w:r>
        <w:t>3. Air Travel</w:t>
      </w:r>
    </w:p>
    <w:p>
      <w:pPr>
        <w:pStyle w:val="ListBullet"/>
      </w:pPr>
      <w:r>
        <w:t>Economy class is the standard for all domestic flights.</w:t>
      </w:r>
    </w:p>
    <w:p>
      <w:pPr>
        <w:pStyle w:val="ListBullet"/>
      </w:pPr>
      <w:r>
        <w:t>Business class is permitted on international flights of more than 6 hours for employees at Band 5 and above.</w:t>
      </w:r>
    </w:p>
    <w:p>
      <w:pPr>
        <w:pStyle w:val="ListBullet"/>
      </w:pPr>
      <w:r>
        <w:t>Flights should be booked at least 7 days in advance where possible.</w:t>
      </w:r>
    </w:p>
    <w:p>
      <w:pPr>
        <w:pStyle w:val="ListBullet"/>
      </w:pPr>
      <w:r>
        <w:t>Employees must choose the lowest available fare within a two-hour window of their preferred departure time.</w:t>
      </w:r>
    </w:p>
    <w:p>
      <w:pPr>
        <w:pStyle w:val="Heading1"/>
      </w:pPr>
      <w:r>
        <w:t>4. 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val="clear" w:color="auto" w:fill="1B2A49"/>
          </w:tcPr>
          <w:p>
            <w:r/>
            <w:r>
              <w:rPr>
                <w:b/>
                <w:color w:val="FFFFFF"/>
                <w:sz w:val="20"/>
              </w:rPr>
              <w:t>City category</w:t>
            </w:r>
          </w:p>
        </w:tc>
        <w:tc>
          <w:tcPr>
            <w:tcW w:type="dxa" w:w="2592"/>
            <w:shd w:val="clear" w:color="auto" w:fill="1B2A49"/>
          </w:tcPr>
          <w:p>
            <w:r/>
            <w:r>
              <w:rPr>
                <w:b/>
                <w:color w:val="FFFFFF"/>
                <w:sz w:val="20"/>
              </w:rPr>
              <w:t>Nightly cap (INR) – Band 1-4</w:t>
            </w:r>
          </w:p>
        </w:tc>
        <w:tc>
          <w:tcPr>
            <w:tcW w:type="dxa" w:w="2592"/>
            <w:shd w:val="clear" w:color="auto" w:fill="1B2A49"/>
          </w:tcPr>
          <w:p>
            <w:r/>
            <w:r>
              <w:rPr>
                <w:b/>
                <w:color w:val="FFFFFF"/>
                <w:sz w:val="20"/>
              </w:rPr>
              <w:t>Nightly cap (INR) – Band 5+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Metro (Mumbai, Delhi NCR, Bengaluru)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6,500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10,000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Tier 2 cities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4,500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7,000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Other locations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3,500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5,500</w:t>
            </w:r>
          </w:p>
        </w:tc>
      </w:tr>
    </w:tbl>
    <w:p/>
    <w:p>
      <w:r>
        <w:t>Stays longer than 7 consecutive nights should use company-empanelled serviced apartments where available.</w:t>
      </w:r>
    </w:p>
    <w:p>
      <w:pPr>
        <w:pStyle w:val="Heading1"/>
      </w:pPr>
      <w:r>
        <w:t>5. Daily Allowance (Per Diem)</w:t>
      </w:r>
    </w:p>
    <w:p>
      <w:r>
        <w:t>A daily allowance of INR 1,200 (domestic) and USD 50 (international) covers meals and incidentals.</w:t>
      </w:r>
    </w:p>
    <w:p>
      <w:pPr>
        <w:pStyle w:val="Heading1"/>
      </w:pPr>
      <w:r>
        <w:t>6. Local Transport</w:t>
      </w:r>
    </w:p>
    <w:p>
      <w:pPr>
        <w:pStyle w:val="ListBullet"/>
      </w:pPr>
      <w:r>
        <w:t>Employees may use taxis or auto-rickshaws for local travel.</w:t>
      </w:r>
    </w:p>
    <w:p>
      <w:pPr>
        <w:pStyle w:val="ListBullet"/>
      </w:pPr>
      <w:r>
        <w:t>Use of a personal car is reimbursed at INR 10 per km.</w:t>
      </w:r>
    </w:p>
    <w:p>
      <w:pPr>
        <w:pStyle w:val="Heading1"/>
      </w:pPr>
      <w:r>
        <w:t>7. Client Entertainment</w:t>
      </w:r>
    </w:p>
    <w:p>
      <w:r>
        <w:t>Client entertainment should be reasonable and must be reported with the names of attendees. Alcohol is not reimbursable.</w:t>
      </w:r>
    </w:p>
    <w:p>
      <w:pPr>
        <w:pStyle w:val="Heading1"/>
      </w:pPr>
      <w:r>
        <w:t>8. Travel Advances</w:t>
      </w:r>
    </w:p>
    <w:p>
      <w:r>
        <w:t>Employees may request a cash advance of up to 70% of estimated trip cost. Advances must be settled within 10 days of return.</w:t>
      </w:r>
    </w:p>
    <w:p>
      <w:pPr>
        <w:pStyle w:val="Heading1"/>
      </w:pPr>
      <w:r>
        <w:t>9. Submitting Claims</w:t>
      </w:r>
    </w:p>
    <w:p>
      <w:pPr>
        <w:pStyle w:val="ListBullet"/>
      </w:pPr>
      <w:r>
        <w:t>Claims must be submitted within 30 calendar days of the trip end date.</w:t>
      </w:r>
    </w:p>
    <w:p>
      <w:pPr>
        <w:pStyle w:val="ListBullet"/>
      </w:pPr>
      <w:r>
        <w:t>Receipts are required for every expense above INR 500.</w:t>
      </w:r>
    </w:p>
    <w:p>
      <w:pPr>
        <w:pStyle w:val="ListBullet"/>
      </w:pPr>
      <w:r>
        <w:t>Claims are reimbursed in the next payroll cycle after approval.</w:t>
      </w:r>
    </w:p>
    <w:p>
      <w:pPr>
        <w:pStyle w:val="Heading1"/>
      </w:pPr>
      <w:r>
        <w:t>10. Non-Compliance</w:t>
      </w:r>
    </w:p>
    <w:p>
      <w:r>
        <w:t>Expenses that do not follow this policy may not be reimbursed. Repeated or deliberate non-compliance will be referred to HR.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B2A49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val="clear" w:color="auto" w:fill="1B2A49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320"/>
            <w:shd w:val="clear" w:color="auto" w:fill="1B2A49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Apr 2025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Head of Finance Operations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