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49"/>
          <w:sz w:val="44"/>
        </w:rPr>
        <w:t>Orbis Consulting Pvt Ltd</w:t>
      </w:r>
    </w:p>
    <w:p>
      <w:r>
        <w:rPr>
          <w:color w:val="C85A32"/>
          <w:sz w:val="24"/>
        </w:rPr>
        <w:t>Travel and Expense Policy  |  Version 2.0  |  Effective 1 October 2026</w:t>
      </w:r>
    </w:p>
    <w:p>
      <w:r>
        <w:rPr>
          <w:i/>
        </w:rPr>
        <w:t>Fictional document created for Claude training exercises. Not a real company policy.</w:t>
      </w:r>
    </w:p>
    <w:p>
      <w:pPr>
        <w:pStyle w:val="Heading1"/>
      </w:pPr>
      <w:r>
        <w:t>1. Purpose and Scope</w:t>
      </w:r>
    </w:p>
    <w:p>
      <w:r>
        <w:t>This policy sets out how employees of Orbis Consulting book business travel and claim reimbursement for expenses incurred on company business. It applies to all permanent employees, fixed-term contractors and interns travelling within India or overseas.</w:t>
      </w:r>
    </w:p>
    <w:p>
      <w:pPr>
        <w:pStyle w:val="Heading1"/>
      </w:pPr>
      <w:r>
        <w:t>2. Approvals</w:t>
      </w:r>
    </w:p>
    <w:p>
      <w:pPr>
        <w:pStyle w:val="ListBullet"/>
      </w:pPr>
      <w:r>
        <w:t>All travel must be approved in the travel portal by the employee's reporting manager before any booking is made.</w:t>
      </w:r>
    </w:p>
    <w:p>
      <w:pPr>
        <w:pStyle w:val="ListBullet"/>
      </w:pPr>
      <w:r>
        <w:t>Trips with an estimated total cost above INR 75,000 also require approval from the Business Unit Head.</w:t>
      </w:r>
    </w:p>
    <w:p>
      <w:pPr>
        <w:pStyle w:val="ListBullet"/>
      </w:pPr>
      <w:r>
        <w:t>International travel requires additional approval from the Finance Controller.</w:t>
      </w:r>
    </w:p>
    <w:p>
      <w:pPr>
        <w:pStyle w:val="ListBullet"/>
      </w:pPr>
      <w:r>
        <w:t>Client-billable travel must carry the client project code at the time of approval; travel without a code is treated as non-billable.</w:t>
      </w:r>
    </w:p>
    <w:p>
      <w:pPr>
        <w:pStyle w:val="Heading1"/>
      </w:pPr>
      <w:r>
        <w:t>3. Air Travel</w:t>
      </w:r>
    </w:p>
    <w:p>
      <w:pPr>
        <w:pStyle w:val="ListBullet"/>
      </w:pPr>
      <w:r>
        <w:t>Economy class is the standard for all domestic flights.</w:t>
      </w:r>
    </w:p>
    <w:p>
      <w:pPr>
        <w:pStyle w:val="ListBullet"/>
      </w:pPr>
      <w:r>
        <w:t>Premium economy is permitted on international flights of more than 8 hours for employees at Band 5 and above.</w:t>
      </w:r>
    </w:p>
    <w:p>
      <w:pPr>
        <w:pStyle w:val="ListBullet"/>
      </w:pPr>
      <w:r>
        <w:t>Flights must be booked at least 14 days in advance unless the trip is client-driven and approved as urgent.</w:t>
      </w:r>
    </w:p>
    <w:p>
      <w:pPr>
        <w:pStyle w:val="ListBullet"/>
      </w:pPr>
      <w:r>
        <w:t>Employees must choose the lowest available fare within a two-hour window of their preferred departure time.</w:t>
      </w:r>
    </w:p>
    <w:p>
      <w:pPr>
        <w:pStyle w:val="Heading1"/>
      </w:pPr>
      <w:r>
        <w:t>4. Accommodation</w:t>
      </w:r>
    </w:p>
    <w:tbl>
      <w:tblPr>
        <w:tblStyle w:val="TableGrid"/>
        <w:tblW w:type="auto" w:w="0"/>
        <w:tblLook w:firstColumn="1" w:firstRow="1" w:lastColumn="0" w:lastRow="0" w:noHBand="0" w:noVBand="1" w:val="04A0"/>
      </w:tblPr>
      <w:tblGrid>
        <w:gridCol w:w="3216"/>
        <w:gridCol w:w="3216"/>
        <w:gridCol w:w="3216"/>
      </w:tblGrid>
      <w:tr>
        <w:tc>
          <w:tcPr>
            <w:tcW w:type="dxa" w:w="4032"/>
            <w:shd w:val="clear" w:color="auto" w:fill="1B2A49"/>
          </w:tcPr>
          <w:p>
            <w:r/>
            <w:r>
              <w:rPr>
                <w:b/>
                <w:color w:val="FFFFFF"/>
                <w:sz w:val="20"/>
              </w:rPr>
              <w:t>City category</w:t>
            </w:r>
          </w:p>
        </w:tc>
        <w:tc>
          <w:tcPr>
            <w:tcW w:type="dxa" w:w="2592"/>
            <w:shd w:val="clear" w:color="auto" w:fill="1B2A49"/>
          </w:tcPr>
          <w:p>
            <w:r/>
            <w:r>
              <w:rPr>
                <w:b/>
                <w:color w:val="FFFFFF"/>
                <w:sz w:val="20"/>
              </w:rPr>
              <w:t>Nightly cap (INR) – Band 1-4</w:t>
            </w:r>
          </w:p>
        </w:tc>
        <w:tc>
          <w:tcPr>
            <w:tcW w:type="dxa" w:w="2592"/>
            <w:shd w:val="clear" w:color="auto" w:fill="1B2A49"/>
          </w:tcPr>
          <w:p>
            <w:r/>
            <w:r>
              <w:rPr>
                <w:b/>
                <w:color w:val="FFFFFF"/>
                <w:sz w:val="20"/>
              </w:rPr>
              <w:t>Nightly cap (INR) – Band 5+</w:t>
            </w:r>
          </w:p>
        </w:tc>
      </w:tr>
      <w:tr>
        <w:tc>
          <w:tcPr>
            <w:tcW w:type="dxa" w:w="4032"/>
          </w:tcPr>
          <w:p>
            <w:r/>
            <w:r>
              <w:rPr>
                <w:sz w:val="20"/>
              </w:rPr>
              <w:t>Metro (Mumbai, Delhi NCR, Bengaluru)</w:t>
            </w:r>
          </w:p>
        </w:tc>
        <w:tc>
          <w:tcPr>
            <w:tcW w:type="dxa" w:w="2592"/>
          </w:tcPr>
          <w:p>
            <w:r/>
            <w:r>
              <w:rPr>
                <w:sz w:val="20"/>
              </w:rPr>
              <w:t>7,500</w:t>
            </w:r>
          </w:p>
        </w:tc>
        <w:tc>
          <w:tcPr>
            <w:tcW w:type="dxa" w:w="2592"/>
          </w:tcPr>
          <w:p>
            <w:r/>
            <w:r>
              <w:rPr>
                <w:sz w:val="20"/>
              </w:rPr>
              <w:t>11,000</w:t>
            </w:r>
          </w:p>
        </w:tc>
      </w:tr>
      <w:tr>
        <w:tc>
          <w:tcPr>
            <w:tcW w:type="dxa" w:w="4032"/>
          </w:tcPr>
          <w:p>
            <w:r/>
            <w:r>
              <w:rPr>
                <w:sz w:val="20"/>
              </w:rPr>
              <w:t>Tier 2 cities</w:t>
            </w:r>
          </w:p>
        </w:tc>
        <w:tc>
          <w:tcPr>
            <w:tcW w:type="dxa" w:w="2592"/>
          </w:tcPr>
          <w:p>
            <w:r/>
            <w:r>
              <w:rPr>
                <w:sz w:val="20"/>
              </w:rPr>
              <w:t>5,000</w:t>
            </w:r>
          </w:p>
        </w:tc>
        <w:tc>
          <w:tcPr>
            <w:tcW w:type="dxa" w:w="2592"/>
          </w:tcPr>
          <w:p>
            <w:r/>
            <w:r>
              <w:rPr>
                <w:sz w:val="20"/>
              </w:rPr>
              <w:t>7,500</w:t>
            </w:r>
          </w:p>
        </w:tc>
      </w:tr>
      <w:tr>
        <w:tc>
          <w:tcPr>
            <w:tcW w:type="dxa" w:w="4032"/>
          </w:tcPr>
          <w:p>
            <w:r/>
            <w:r>
              <w:rPr>
                <w:sz w:val="20"/>
              </w:rPr>
              <w:t>Other locations</w:t>
            </w:r>
          </w:p>
        </w:tc>
        <w:tc>
          <w:tcPr>
            <w:tcW w:type="dxa" w:w="2592"/>
          </w:tcPr>
          <w:p>
            <w:r/>
            <w:r>
              <w:rPr>
                <w:sz w:val="20"/>
              </w:rPr>
              <w:t>3,500</w:t>
            </w:r>
          </w:p>
        </w:tc>
        <w:tc>
          <w:tcPr>
            <w:tcW w:type="dxa" w:w="2592"/>
          </w:tcPr>
          <w:p>
            <w:r/>
            <w:r>
              <w:rPr>
                <w:sz w:val="20"/>
              </w:rPr>
              <w:t>5,500</w:t>
            </w:r>
          </w:p>
        </w:tc>
      </w:tr>
    </w:tbl>
    <w:p/>
    <w:p>
      <w:r>
        <w:t>Stays longer than 7 consecutive nights should use company-empanelled serviced apartments where available. Hotel bookings must be made through the travel desk; self-booked hotels will be reimbursed only up to 80% of the cap.</w:t>
      </w:r>
    </w:p>
    <w:p>
      <w:pPr>
        <w:pStyle w:val="Heading1"/>
      </w:pPr>
      <w:r>
        <w:t>5. Daily Allowance (Per Diem)</w:t>
      </w:r>
    </w:p>
    <w:p>
      <w:r>
        <w:t>A daily allowance of INR 1,500 (domestic) and USD 60 (international) covers meals and incidentals. Per diem is not payable for days when meals are provided by the client or at a conference.</w:t>
      </w:r>
    </w:p>
    <w:p>
      <w:pPr>
        <w:pStyle w:val="Heading1"/>
      </w:pPr>
      <w:r>
        <w:t>6. Local Transport</w:t>
      </w:r>
    </w:p>
    <w:p>
      <w:pPr>
        <w:pStyle w:val="ListBullet"/>
      </w:pPr>
      <w:r>
        <w:t>App-based ride-share services (standard category) are the preferred mode of local transport.</w:t>
      </w:r>
    </w:p>
    <w:p>
      <w:pPr>
        <w:pStyle w:val="ListBullet"/>
      </w:pPr>
      <w:r>
        <w:t>Premium ride categories are reimbursable only between 10 pm and 6 am.</w:t>
      </w:r>
    </w:p>
    <w:p>
      <w:pPr>
        <w:pStyle w:val="ListBullet"/>
      </w:pPr>
      <w:r>
        <w:t>Use of a personal car is reimbursed at INR 12 per km.</w:t>
      </w:r>
    </w:p>
    <w:p>
      <w:pPr>
        <w:pStyle w:val="Heading1"/>
      </w:pPr>
      <w:r>
        <w:t>7. Client Entertainment</w:t>
      </w:r>
    </w:p>
    <w:p>
      <w:r>
        <w:t>Client entertainment above INR 10,000 per event requires written pre-approval from the Business Unit Head. Alcohol is not reimbursable unless served as part of an approved client dinner.</w:t>
      </w:r>
    </w:p>
    <w:p>
      <w:pPr>
        <w:pStyle w:val="Heading1"/>
      </w:pPr>
      <w:r>
        <w:t>8. Submitting Claims</w:t>
      </w:r>
    </w:p>
    <w:p>
      <w:pPr>
        <w:pStyle w:val="ListBullet"/>
      </w:pPr>
      <w:r>
        <w:t>Claims must be submitted within 15 calendar days of the trip end date. Late claims need Finance Controller approval.</w:t>
      </w:r>
    </w:p>
    <w:p>
      <w:pPr>
        <w:pStyle w:val="ListBullet"/>
      </w:pPr>
      <w:r>
        <w:t>Original or digital receipts are required for every expense above INR 250.</w:t>
      </w:r>
    </w:p>
    <w:p>
      <w:pPr>
        <w:pStyle w:val="ListBullet"/>
      </w:pPr>
      <w:r>
        <w:t>Claims are reimbursed in the next payroll cycle after approval.</w:t>
      </w:r>
    </w:p>
    <w:p>
      <w:pPr>
        <w:pStyle w:val="Heading1"/>
      </w:pPr>
      <w:r>
        <w:t>9. Travel Insurance and Safety</w:t>
      </w:r>
    </w:p>
    <w:p>
      <w:r>
        <w:t>All international travellers are covered by the company group travel insurance policy. Employees must register their itinerary with the travel desk before departure so they can be reached in an emergency. Travel to destinations rated 'high risk' by the security team needs CHRO approval.</w:t>
      </w:r>
    </w:p>
    <w:p>
      <w:pPr>
        <w:pStyle w:val="Heading1"/>
      </w:pPr>
      <w:r>
        <w:t>10. Non-Compliance</w:t>
      </w:r>
    </w:p>
    <w:p>
      <w:r>
        <w:t>Expenses that do not follow this policy may not be reimbursed. Repeated or deliberate non-compliance will be referred to HR and may lead to disciplinary action under the Code of Conduct.</w:t>
      </w:r>
    </w:p>
    <w:p>
      <w:pPr>
        <w:pStyle w:val="Heading2"/>
      </w:pPr>
      <w:r>
        <w:t>Document control</w:t>
      </w:r>
    </w:p>
    <w:tbl>
      <w:tblPr>
        <w:tblStyle w:val="TableGrid"/>
        <w:tblW w:type="auto" w:w="0"/>
        <w:tblLook w:firstColumn="1" w:firstRow="1" w:lastColumn="0" w:lastRow="0" w:noHBand="0" w:noVBand="1" w:val="04A0"/>
      </w:tblPr>
      <w:tblGrid>
        <w:gridCol w:w="3216"/>
        <w:gridCol w:w="3216"/>
        <w:gridCol w:w="3216"/>
      </w:tblGrid>
      <w:tr>
        <w:tc>
          <w:tcPr>
            <w:tcW w:type="dxa" w:w="2160"/>
            <w:shd w:val="clear" w:color="auto" w:fill="1B2A49"/>
          </w:tcPr>
          <w:p>
            <w:r/>
            <w:r>
              <w:rPr>
                <w:b/>
                <w:color w:val="FFFFFF"/>
                <w:sz w:val="20"/>
              </w:rPr>
              <w:t>Version</w:t>
            </w:r>
          </w:p>
        </w:tc>
        <w:tc>
          <w:tcPr>
            <w:tcW w:type="dxa" w:w="2880"/>
            <w:shd w:val="clear" w:color="auto" w:fill="1B2A49"/>
          </w:tcPr>
          <w:p>
            <w:r/>
            <w:r>
              <w:rPr>
                <w:b/>
                <w:color w:val="FFFFFF"/>
                <w:sz w:val="20"/>
              </w:rPr>
              <w:t>Date</w:t>
            </w:r>
          </w:p>
        </w:tc>
        <w:tc>
          <w:tcPr>
            <w:tcW w:type="dxa" w:w="4320"/>
            <w:shd w:val="clear" w:color="auto" w:fill="1B2A49"/>
          </w:tcPr>
          <w:p>
            <w:r/>
            <w:r>
              <w:rPr>
                <w:b/>
                <w:color w:val="FFFFFF"/>
                <w:sz w:val="20"/>
              </w:rPr>
              <w:t>Owner</w:t>
            </w:r>
          </w:p>
        </w:tc>
      </w:tr>
      <w:tr>
        <w:tc>
          <w:tcPr>
            <w:tcW w:type="dxa" w:w="2160"/>
          </w:tcPr>
          <w:p>
            <w:r/>
            <w:r>
              <w:rPr>
                <w:sz w:val="20"/>
              </w:rPr>
              <w:t>2.0</w:t>
            </w:r>
          </w:p>
        </w:tc>
        <w:tc>
          <w:tcPr>
            <w:tcW w:type="dxa" w:w="2880"/>
          </w:tcPr>
          <w:p>
            <w:r/>
            <w:r>
              <w:rPr>
                <w:sz w:val="20"/>
              </w:rPr>
              <w:t>1 Oct 2026</w:t>
            </w:r>
          </w:p>
        </w:tc>
        <w:tc>
          <w:tcPr>
            <w:tcW w:type="dxa" w:w="4320"/>
          </w:tcPr>
          <w:p>
            <w:r/>
            <w:r>
              <w:rPr>
                <w:sz w:val="20"/>
              </w:rPr>
              <w:t>Head of Finance Operations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