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81" w:before="0" w:after="40"/>
        <w:jc w:val="center"/>
        <w:rPr/>
      </w:pPr>
      <w:r>
        <w:rPr>
          <w:b/>
          <w:color w:val="0B2545"/>
          <w:sz w:val="52"/>
        </w:rPr>
        <w:t xml:space="preserve">RAG and Riches Financial Inc: </w:t>
      </w:r>
      <w:r>
        <w:rPr>
          <w:b/>
          <w:color w:val="0B2545"/>
          <w:sz w:val="52"/>
        </w:rPr>
        <w:t>Comparison Report and Reranking Impact Analysis</w:t>
      </w:r>
    </w:p>
    <w:p>
      <w:pPr>
        <w:pStyle w:val="Normal"/>
        <w:bidi w:val="0"/>
        <w:spacing w:lineRule="auto" w:line="250" w:before="0" w:after="80"/>
        <w:jc w:val="center"/>
        <w:rPr/>
      </w:pPr>
      <w:r>
        <w:rPr>
          <w:i/>
          <w:color w:val="5B6573"/>
          <w:sz w:val="22"/>
        </w:rPr>
        <w:t>A report on fixed-size, semantic, and hybrid retrieval quality across the financial corpus.</w:t>
      </w:r>
    </w:p>
    <w:p>
      <w:pPr>
        <w:pStyle w:val="Normal"/>
        <w:bidi w:val="0"/>
        <w:spacing w:lineRule="auto" w:line="230" w:before="0" w:after="180"/>
        <w:jc w:val="center"/>
        <w:rPr/>
      </w:pPr>
      <w:r>
        <w:rPr>
          <w:color w:val="6B7280"/>
          <w:sz w:val="19"/>
        </w:rPr>
        <w:t>Prepared for benchmark review and retrieval quality analysis.</w:t>
      </w:r>
    </w:p>
    <w:tbl>
      <w:tblPr>
        <w:tblW w:w="9360" w:type="dxa"/>
        <w:jc w:val="left"/>
        <w:tblInd w:w="120" w:type="dxa"/>
        <w:tblLayout w:type="fixed"/>
        <w:tblCellMar>
          <w:top w:w="120" w:type="dxa"/>
          <w:left w:w="140" w:type="dxa"/>
          <w:bottom w:w="120" w:type="dxa"/>
          <w:right w:w="140" w:type="dxa"/>
        </w:tblCellMar>
      </w:tblPr>
      <w:tblGrid>
        <w:gridCol w:w="9360"/>
      </w:tblGrid>
      <w:tr>
        <w:trPr/>
        <w:tc>
          <w:tcPr>
            <w:tcW w:w="9360" w:type="dxa"/>
            <w:tcBorders>
              <w:top w:val="single" w:sz="6" w:space="0" w:color="D0D7DE"/>
              <w:left w:val="single" w:sz="6" w:space="0" w:color="D0D7DE"/>
              <w:bottom w:val="single" w:sz="6" w:space="0" w:color="D0D7DE"/>
              <w:right w:val="single" w:sz="6" w:space="0" w:color="D0D7DE"/>
            </w:tcBorders>
            <w:shd w:color="auto" w:fill="F4F6F9" w:val="clear"/>
            <w:vAlign w:val="center"/>
          </w:tcPr>
          <w:p>
            <w:pPr>
              <w:pStyle w:val="Normal"/>
              <w:bidi w:val="0"/>
              <w:spacing w:lineRule="auto" w:line="250" w:before="0" w:after="60"/>
              <w:jc w:val="left"/>
              <w:rPr/>
            </w:pPr>
            <w:r>
              <w:rPr>
                <w:b/>
                <w:color w:val="1F3A5F"/>
                <w:sz w:val="22"/>
              </w:rPr>
              <w:t>We used LlamaIndex to build 3 parallel RAG pipelines over SEC filings, earnings call transcripts, insurance claims, and loan agreements. The only difference between the pipelines was the chunking strategy - fixed-size versus semantic chunking - allowing us to directly measure the impact of chunking on retrieval quality, answer relevance, and faithfulness.</w:t>
            </w:r>
          </w:p>
        </w:tc>
      </w:tr>
    </w:tbl>
    <w:p>
      <w:pPr>
        <w:pStyle w:val="Normal"/>
        <w:keepNext w:val="true"/>
        <w:bidi w:val="0"/>
        <w:spacing w:lineRule="auto" w:line="281" w:before="320" w:after="100"/>
        <w:jc w:val="left"/>
        <w:rPr/>
      </w:pPr>
      <w:r>
        <w:rPr>
          <w:b/>
          <w:color w:val="1F4D78"/>
          <w:sz w:val="32"/>
        </w:rPr>
        <w:t>Executive Summary</w:t>
      </w:r>
    </w:p>
    <w:p>
      <w:pPr>
        <w:pStyle w:val="Normal"/>
        <w:bidi w:val="0"/>
        <w:spacing w:lineRule="auto" w:line="250" w:before="0" w:after="80"/>
        <w:jc w:val="left"/>
        <w:rPr>
          <w:rFonts w:ascii="Calibri" w:hAnsi="Calibri"/>
          <w:color w:val="000000"/>
          <w:sz w:val="22"/>
        </w:rPr>
      </w:pPr>
      <w:r>
        <w:rPr>
          <w:color w:val="000000"/>
          <w:sz w:val="22"/>
        </w:rPr>
        <w:t>The practical question is simple: when a financial chatbot needs to explain liquidity pressure, reserve movement, covenant terms, or claim activity, which retrieval path gives the clearest and most defensible evidence?</w:t>
      </w:r>
    </w:p>
    <w:p>
      <w:pPr>
        <w:pStyle w:val="Normal"/>
        <w:bidi w:val="0"/>
        <w:spacing w:lineRule="auto" w:line="250" w:before="0" w:after="80"/>
        <w:jc w:val="left"/>
        <w:rPr>
          <w:rFonts w:ascii="Calibri" w:hAnsi="Calibri"/>
          <w:color w:val="000000"/>
          <w:sz w:val="22"/>
        </w:rPr>
      </w:pPr>
      <w:r>
        <w:rPr>
          <w:color w:val="000000"/>
          <w:sz w:val="22"/>
        </w:rPr>
      </w:r>
    </w:p>
    <w:p>
      <w:pPr>
        <w:pStyle w:val="Normal"/>
        <w:bidi w:val="0"/>
        <w:spacing w:lineRule="auto" w:line="250" w:before="0" w:after="80"/>
        <w:jc w:val="left"/>
        <w:rPr>
          <w:rFonts w:ascii="Calibri" w:hAnsi="Calibri"/>
          <w:color w:val="000000"/>
          <w:sz w:val="22"/>
        </w:rPr>
      </w:pPr>
      <w:r>
        <w:rPr>
          <w:color w:val="000000"/>
          <w:sz w:val="22"/>
        </w:rPr>
        <w:t>This benchmark isolates the retrieval layer so we can see how each design choice affects the quality of evidence returned to the answer generator. The report focuses on retrieval rank, first-hit quality, reranking lift, and faithfulness, which together tell the story of how well the app stays anchored to the source material.</w:t>
      </w:r>
    </w:p>
    <w:p>
      <w:pPr>
        <w:pStyle w:val="Normal"/>
        <w:bidi w:val="0"/>
        <w:spacing w:lineRule="auto" w:line="250" w:before="0" w:after="80"/>
        <w:jc w:val="left"/>
        <w:rPr>
          <w:rFonts w:ascii="Calibri" w:hAnsi="Calibri"/>
          <w:b w:val="false"/>
          <w:color w:val="000000"/>
          <w:sz w:val="22"/>
          <w:szCs w:val="22"/>
          <w:highlight w:val="none"/>
          <w:shd w:fill="auto" w:val="clear"/>
        </w:rPr>
      </w:pPr>
      <w:r>
        <w:rPr>
          <w:rFonts w:ascii="Calibri" w:hAnsi="Calibri"/>
          <w:b w:val="false"/>
          <w:color w:val="000000"/>
          <w:sz w:val="22"/>
          <w:szCs w:val="22"/>
          <w:shd w:fill="auto" w:val="clear"/>
        </w:rPr>
      </w:r>
    </w:p>
    <w:p>
      <w:pPr>
        <w:pStyle w:val="Normal"/>
        <w:bidi w:val="0"/>
        <w:spacing w:lineRule="auto" w:line="250" w:before="0" w:after="80"/>
        <w:jc w:val="left"/>
        <w:rPr>
          <w:rFonts w:ascii="Calibri" w:hAnsi="Calibri"/>
          <w:b w:val="false"/>
          <w:color w:val="000000"/>
          <w:sz w:val="22"/>
          <w:szCs w:val="22"/>
          <w:highlight w:val="none"/>
          <w:shd w:fill="auto" w:val="clear"/>
        </w:rPr>
      </w:pPr>
      <w:r>
        <w:rPr>
          <w:rFonts w:ascii="Calibri" w:hAnsi="Calibri"/>
          <w:b w:val="false"/>
          <w:color w:val="000000"/>
          <w:sz w:val="22"/>
          <w:szCs w:val="22"/>
          <w:shd w:fill="auto" w:val="clear"/>
        </w:rPr>
        <w:t>This benchmark compares how retrieval behaves when the same financial corpus is split and indexed in different ways. The goal is to isolate the effect of chunking, then measure what reranking adds on top of that baseline.</w:t>
      </w:r>
    </w:p>
    <w:p>
      <w:pPr>
        <w:pStyle w:val="Normal"/>
        <w:bidi w:val="0"/>
        <w:spacing w:lineRule="atLeast" w:line="285"/>
        <w:jc w:val="left"/>
        <w:rPr>
          <w:rFonts w:ascii="Calibri" w:hAnsi="Calibri"/>
          <w:color w:val="000000"/>
          <w:sz w:val="22"/>
          <w:szCs w:val="22"/>
          <w:highlight w:val="none"/>
          <w:shd w:fill="auto" w:val="clear"/>
        </w:rPr>
      </w:pPr>
      <w:r>
        <w:rPr>
          <w:rFonts w:ascii="Calibri" w:hAnsi="Calibri"/>
          <w:color w:val="000000"/>
          <w:sz w:val="22"/>
          <w:szCs w:val="22"/>
          <w:shd w:fill="auto" w:val="clear"/>
        </w:rPr>
      </w:r>
    </w:p>
    <w:p>
      <w:pPr>
        <w:pStyle w:val="Normal"/>
        <w:bidi w:val="0"/>
        <w:spacing w:lineRule="atLeast" w:line="285"/>
        <w:ind w:hanging="0" w:left="0" w:right="0"/>
        <w:jc w:val="left"/>
        <w:rPr>
          <w:rFonts w:ascii="Calibri" w:hAnsi="Calibri"/>
          <w:b w:val="false"/>
          <w:color w:val="000000"/>
          <w:sz w:val="22"/>
          <w:szCs w:val="22"/>
          <w:highlight w:val="none"/>
          <w:shd w:fill="auto" w:val="clear"/>
        </w:rPr>
      </w:pPr>
      <w:r>
        <w:rPr>
          <w:rFonts w:ascii="Calibri" w:hAnsi="Calibri"/>
          <w:b w:val="false"/>
          <w:color w:val="000000"/>
          <w:sz w:val="22"/>
          <w:szCs w:val="22"/>
          <w:shd w:fill="auto" w:val="clear"/>
        </w:rPr>
        <w:t>The comparison report focuses on four questions:</w:t>
      </w:r>
    </w:p>
    <w:p>
      <w:pPr>
        <w:pStyle w:val="Normal"/>
        <w:bidi w:val="0"/>
        <w:spacing w:lineRule="atLeast" w:line="285"/>
        <w:jc w:val="left"/>
        <w:rPr>
          <w:rFonts w:ascii="Calibri" w:hAnsi="Calibri"/>
          <w:color w:val="000000"/>
          <w:sz w:val="22"/>
          <w:szCs w:val="22"/>
          <w:highlight w:val="none"/>
          <w:shd w:fill="auto" w:val="clear"/>
        </w:rPr>
      </w:pPr>
      <w:r>
        <w:rPr>
          <w:rFonts w:ascii="Calibri" w:hAnsi="Calibri"/>
          <w:color w:val="000000"/>
          <w:sz w:val="22"/>
          <w:szCs w:val="22"/>
          <w:shd w:fill="auto" w:val="clear"/>
        </w:rPr>
      </w:r>
    </w:p>
    <w:p>
      <w:pPr>
        <w:pStyle w:val="Normal"/>
        <w:bidi w:val="0"/>
        <w:spacing w:lineRule="atLeast" w:line="285"/>
        <w:ind w:hanging="0" w:left="0" w:right="0"/>
        <w:jc w:val="left"/>
        <w:rPr>
          <w:rFonts w:ascii="Calibri" w:hAnsi="Calibri"/>
          <w:b w:val="false"/>
          <w:color w:val="000000"/>
          <w:sz w:val="22"/>
          <w:szCs w:val="22"/>
          <w:highlight w:val="none"/>
          <w:shd w:fill="auto" w:val="clear"/>
        </w:rPr>
      </w:pPr>
      <w:r>
        <w:rPr>
          <w:rFonts w:ascii="Calibri" w:hAnsi="Calibri"/>
          <w:b w:val="false"/>
          <w:color w:val="000000"/>
          <w:sz w:val="22"/>
          <w:szCs w:val="22"/>
          <w:shd w:fill="auto" w:val="clear"/>
        </w:rPr>
        <w:t>1. Which chunking strategy retrieves the most relevant evidence?</w:t>
      </w:r>
    </w:p>
    <w:p>
      <w:pPr>
        <w:pStyle w:val="Normal"/>
        <w:bidi w:val="0"/>
        <w:spacing w:lineRule="atLeast" w:line="285"/>
        <w:ind w:hanging="0" w:left="0" w:right="0"/>
        <w:jc w:val="left"/>
        <w:rPr>
          <w:rFonts w:ascii="Calibri" w:hAnsi="Calibri"/>
          <w:b w:val="false"/>
          <w:color w:val="000000"/>
          <w:sz w:val="22"/>
          <w:szCs w:val="22"/>
          <w:highlight w:val="none"/>
          <w:shd w:fill="auto" w:val="clear"/>
        </w:rPr>
      </w:pPr>
      <w:r>
        <w:rPr>
          <w:rFonts w:ascii="Calibri" w:hAnsi="Calibri"/>
          <w:b w:val="false"/>
          <w:color w:val="000000"/>
          <w:sz w:val="22"/>
          <w:szCs w:val="22"/>
          <w:shd w:fill="auto" w:val="clear"/>
        </w:rPr>
        <w:t>2. Does reranking improve the order of the retrieved chunks?</w:t>
      </w:r>
    </w:p>
    <w:p>
      <w:pPr>
        <w:pStyle w:val="Normal"/>
        <w:bidi w:val="0"/>
        <w:spacing w:lineRule="atLeast" w:line="285"/>
        <w:ind w:hanging="0" w:left="0" w:right="0"/>
        <w:jc w:val="left"/>
        <w:rPr>
          <w:rFonts w:ascii="Calibri" w:hAnsi="Calibri"/>
          <w:b w:val="false"/>
          <w:color w:val="000000"/>
          <w:sz w:val="22"/>
          <w:szCs w:val="22"/>
          <w:highlight w:val="none"/>
          <w:shd w:fill="auto" w:val="clear"/>
        </w:rPr>
      </w:pPr>
      <w:r>
        <w:rPr>
          <w:rFonts w:ascii="Calibri" w:hAnsi="Calibri"/>
          <w:b w:val="false"/>
          <w:color w:val="000000"/>
          <w:sz w:val="22"/>
          <w:szCs w:val="22"/>
          <w:shd w:fill="auto" w:val="clear"/>
        </w:rPr>
        <w:t>3. Does hybrid retrieval, using Reciprocal Rank Fusion, produce stronger combined evidence than a single strategy alone?</w:t>
      </w:r>
    </w:p>
    <w:p>
      <w:pPr>
        <w:pStyle w:val="Normal"/>
        <w:bidi w:val="0"/>
        <w:spacing w:lineRule="atLeast" w:line="285"/>
        <w:ind w:hanging="0" w:left="0" w:right="0"/>
        <w:jc w:val="left"/>
        <w:rPr>
          <w:rFonts w:ascii="Calibri" w:hAnsi="Calibri"/>
          <w:b w:val="false"/>
          <w:color w:val="000000"/>
          <w:sz w:val="22"/>
          <w:szCs w:val="22"/>
          <w:highlight w:val="none"/>
          <w:shd w:fill="auto" w:val="clear"/>
        </w:rPr>
      </w:pPr>
      <w:r>
        <w:rPr>
          <w:rFonts w:ascii="Calibri" w:hAnsi="Calibri"/>
          <w:b w:val="false"/>
          <w:color w:val="000000"/>
          <w:sz w:val="22"/>
          <w:szCs w:val="22"/>
          <w:shd w:fill="auto" w:val="clear"/>
        </w:rPr>
        <w:t>4. Are the resulting answers more faithful to the underlying documents?</w:t>
      </w:r>
    </w:p>
    <w:p>
      <w:pPr>
        <w:pStyle w:val="Normal"/>
        <w:bidi w:val="0"/>
        <w:spacing w:lineRule="auto" w:line="250" w:before="0" w:after="80"/>
        <w:jc w:val="left"/>
        <w:rPr>
          <w:rFonts w:ascii="Calibri" w:hAnsi="Calibri"/>
          <w:color w:val="000000"/>
          <w:sz w:val="22"/>
          <w:highlight w:val="none"/>
          <w:shd w:fill="auto" w:val="clear"/>
        </w:rPr>
      </w:pPr>
      <w:r>
        <w:rPr>
          <w:color w:val="000000"/>
          <w:sz w:val="22"/>
          <w:shd w:fill="auto" w:val="clear"/>
        </w:rPr>
      </w:r>
    </w:p>
    <w:p>
      <w:pPr>
        <w:pStyle w:val="Normal"/>
        <w:keepNext w:val="true"/>
        <w:bidi w:val="0"/>
        <w:spacing w:lineRule="auto" w:line="281" w:before="320" w:after="100"/>
        <w:jc w:val="left"/>
        <w:rPr/>
      </w:pPr>
      <w:r>
        <w:rPr>
          <w:b/>
          <w:color w:val="1F4D78"/>
          <w:sz w:val="32"/>
        </w:rPr>
        <w:t xml:space="preserve">Tool Stack </w:t>
      </w:r>
      <w:r>
        <w:rPr>
          <w:b/>
          <w:color w:val="1F4D78"/>
          <w:sz w:val="32"/>
        </w:rPr>
        <w:t>Used</w:t>
      </w:r>
    </w:p>
    <w:tbl>
      <w:tblPr>
        <w:tblW w:w="9360" w:type="dxa"/>
        <w:jc w:val="left"/>
        <w:tblInd w:w="120" w:type="dxa"/>
        <w:tblLayout w:type="fixed"/>
        <w:tblCellMar>
          <w:top w:w="80" w:type="dxa"/>
          <w:left w:w="120" w:type="dxa"/>
          <w:bottom w:w="80" w:type="dxa"/>
          <w:right w:w="120" w:type="dxa"/>
        </w:tblCellMar>
      </w:tblPr>
      <w:tblGrid>
        <w:gridCol w:w="2304"/>
        <w:gridCol w:w="7056"/>
      </w:tblGrid>
      <w:tr>
        <w:trPr/>
        <w:tc>
          <w:tcPr>
            <w:tcW w:w="2304" w:type="dxa"/>
            <w:tcBorders>
              <w:top w:val="single" w:sz="6" w:space="0" w:color="D0D7DE"/>
              <w:left w:val="single" w:sz="6" w:space="0" w:color="D0D7DE"/>
              <w:bottom w:val="single" w:sz="6" w:space="0" w:color="D0D7DE"/>
              <w:right w:val="single" w:sz="6" w:space="0" w:color="D0D7DE"/>
            </w:tcBorders>
            <w:shd w:color="auto" w:fill="E8EEF5" w:val="clear"/>
            <w:vAlign w:val="center"/>
          </w:tcPr>
          <w:p>
            <w:pPr>
              <w:pStyle w:val="Normal"/>
              <w:bidi w:val="0"/>
              <w:spacing w:lineRule="auto" w:line="240" w:before="0" w:after="60"/>
              <w:jc w:val="center"/>
              <w:rPr/>
            </w:pPr>
            <w:r>
              <w:rPr>
                <w:b/>
                <w:color w:val="1F1F1F"/>
                <w:sz w:val="21"/>
              </w:rPr>
              <w:t>Tool</w:t>
            </w:r>
          </w:p>
        </w:tc>
        <w:tc>
          <w:tcPr>
            <w:tcW w:w="7056" w:type="dxa"/>
            <w:tcBorders>
              <w:top w:val="single" w:sz="6" w:space="0" w:color="D0D7DE"/>
              <w:left w:val="single" w:sz="6" w:space="0" w:color="D0D7DE"/>
              <w:bottom w:val="single" w:sz="6" w:space="0" w:color="D0D7DE"/>
              <w:right w:val="single" w:sz="6" w:space="0" w:color="D0D7DE"/>
            </w:tcBorders>
            <w:shd w:color="auto" w:fill="E8EEF5" w:val="clear"/>
            <w:vAlign w:val="center"/>
          </w:tcPr>
          <w:p>
            <w:pPr>
              <w:pStyle w:val="Normal"/>
              <w:bidi w:val="0"/>
              <w:spacing w:lineRule="auto" w:line="240" w:before="0" w:after="60"/>
              <w:jc w:val="center"/>
              <w:rPr/>
            </w:pPr>
            <w:r>
              <w:rPr>
                <w:b/>
                <w:color w:val="1F1F1F"/>
                <w:sz w:val="21"/>
              </w:rPr>
              <w:t>Role in the report</w:t>
            </w:r>
          </w:p>
        </w:tc>
      </w:tr>
      <w:tr>
        <w:trPr/>
        <w:tc>
          <w:tcPr>
            <w:tcW w:w="2304" w:type="dxa"/>
            <w:tcBorders>
              <w:top w:val="single" w:sz="6" w:space="0" w:color="D0D7DE"/>
              <w:left w:val="single" w:sz="6" w:space="0" w:color="D0D7DE"/>
              <w:bottom w:val="single" w:sz="6" w:space="0" w:color="D0D7DE"/>
              <w:right w:val="single" w:sz="6" w:space="0" w:color="D0D7DE"/>
            </w:tcBorders>
            <w:vAlign w:val="center"/>
          </w:tcPr>
          <w:p>
            <w:pPr>
              <w:pStyle w:val="Normal"/>
              <w:bidi w:val="0"/>
              <w:spacing w:lineRule="auto" w:line="240" w:before="0" w:after="60"/>
              <w:jc w:val="left"/>
              <w:rPr/>
            </w:pPr>
            <w:r>
              <w:rPr>
                <w:color w:val="000000"/>
                <w:sz w:val="21"/>
              </w:rPr>
              <w:t>LlamaIndex</w:t>
            </w:r>
          </w:p>
        </w:tc>
        <w:tc>
          <w:tcPr>
            <w:tcW w:w="7056" w:type="dxa"/>
            <w:tcBorders>
              <w:top w:val="single" w:sz="6" w:space="0" w:color="D0D7DE"/>
              <w:left w:val="single" w:sz="6" w:space="0" w:color="D0D7DE"/>
              <w:bottom w:val="single" w:sz="6" w:space="0" w:color="D0D7DE"/>
              <w:right w:val="single" w:sz="6" w:space="0" w:color="D0D7DE"/>
            </w:tcBorders>
            <w:vAlign w:val="center"/>
          </w:tcPr>
          <w:p>
            <w:pPr>
              <w:pStyle w:val="Normal"/>
              <w:bidi w:val="0"/>
              <w:spacing w:lineRule="auto" w:line="240" w:before="0" w:after="60"/>
              <w:jc w:val="left"/>
              <w:rPr/>
            </w:pPr>
            <w:r>
              <w:rPr>
                <w:color w:val="000000"/>
                <w:sz w:val="21"/>
              </w:rPr>
              <w:t>Orchestrates the RAG pipelines and keeps the comparison workflow aligned across strategies.</w:t>
            </w:r>
          </w:p>
        </w:tc>
      </w:tr>
      <w:tr>
        <w:trPr/>
        <w:tc>
          <w:tcPr>
            <w:tcW w:w="2304" w:type="dxa"/>
            <w:tcBorders>
              <w:top w:val="single" w:sz="6" w:space="0" w:color="D0D7DE"/>
              <w:left w:val="single" w:sz="6" w:space="0" w:color="D0D7DE"/>
              <w:bottom w:val="single" w:sz="6" w:space="0" w:color="D0D7DE"/>
              <w:right w:val="single" w:sz="6" w:space="0" w:color="D0D7DE"/>
            </w:tcBorders>
            <w:vAlign w:val="center"/>
          </w:tcPr>
          <w:p>
            <w:pPr>
              <w:pStyle w:val="Normal"/>
              <w:bidi w:val="0"/>
              <w:spacing w:lineRule="auto" w:line="240" w:before="0" w:after="60"/>
              <w:jc w:val="left"/>
              <w:rPr/>
            </w:pPr>
            <w:r>
              <w:rPr>
                <w:color w:val="000000"/>
                <w:sz w:val="21"/>
              </w:rPr>
              <w:t>Pinecone</w:t>
            </w:r>
          </w:p>
        </w:tc>
        <w:tc>
          <w:tcPr>
            <w:tcW w:w="7056" w:type="dxa"/>
            <w:tcBorders>
              <w:top w:val="single" w:sz="6" w:space="0" w:color="D0D7DE"/>
              <w:left w:val="single" w:sz="6" w:space="0" w:color="D0D7DE"/>
              <w:bottom w:val="single" w:sz="6" w:space="0" w:color="D0D7DE"/>
              <w:right w:val="single" w:sz="6" w:space="0" w:color="D0D7DE"/>
            </w:tcBorders>
            <w:vAlign w:val="center"/>
          </w:tcPr>
          <w:p>
            <w:pPr>
              <w:pStyle w:val="Normal"/>
              <w:bidi w:val="0"/>
              <w:spacing w:lineRule="auto" w:line="240" w:before="0" w:after="60"/>
              <w:jc w:val="left"/>
              <w:rPr/>
            </w:pPr>
            <w:r>
              <w:rPr>
                <w:color w:val="000000"/>
                <w:sz w:val="21"/>
              </w:rPr>
              <w:t>Provides vector search for chunk retrieval, with a local fallback path when external services are unavailable.</w:t>
            </w:r>
          </w:p>
        </w:tc>
      </w:tr>
      <w:tr>
        <w:trPr/>
        <w:tc>
          <w:tcPr>
            <w:tcW w:w="2304" w:type="dxa"/>
            <w:tcBorders>
              <w:top w:val="single" w:sz="6" w:space="0" w:color="D0D7DE"/>
              <w:left w:val="single" w:sz="6" w:space="0" w:color="D0D7DE"/>
              <w:bottom w:val="single" w:sz="6" w:space="0" w:color="D0D7DE"/>
              <w:right w:val="single" w:sz="6" w:space="0" w:color="D0D7DE"/>
            </w:tcBorders>
            <w:vAlign w:val="center"/>
          </w:tcPr>
          <w:p>
            <w:pPr>
              <w:pStyle w:val="Normal"/>
              <w:bidi w:val="0"/>
              <w:spacing w:lineRule="auto" w:line="240" w:before="0" w:after="60"/>
              <w:jc w:val="left"/>
              <w:rPr/>
            </w:pPr>
            <w:r>
              <w:rPr>
                <w:color w:val="000000"/>
                <w:sz w:val="21"/>
              </w:rPr>
              <w:t>Nebius</w:t>
            </w:r>
          </w:p>
        </w:tc>
        <w:tc>
          <w:tcPr>
            <w:tcW w:w="7056" w:type="dxa"/>
            <w:tcBorders>
              <w:top w:val="single" w:sz="6" w:space="0" w:color="D0D7DE"/>
              <w:left w:val="single" w:sz="6" w:space="0" w:color="D0D7DE"/>
              <w:bottom w:val="single" w:sz="6" w:space="0" w:color="D0D7DE"/>
              <w:right w:val="single" w:sz="6" w:space="0" w:color="D0D7DE"/>
            </w:tcBorders>
            <w:vAlign w:val="center"/>
          </w:tcPr>
          <w:p>
            <w:pPr>
              <w:pStyle w:val="Normal"/>
              <w:bidi w:val="0"/>
              <w:spacing w:lineRule="auto" w:line="240" w:before="0" w:after="60"/>
              <w:jc w:val="left"/>
              <w:rPr/>
            </w:pPr>
            <w:r>
              <w:rPr>
                <w:color w:val="000000"/>
                <w:sz w:val="21"/>
              </w:rPr>
              <w:t>Handles query rewrite and optional reranking so we can measure the impact of ordering improvements.</w:t>
            </w:r>
          </w:p>
        </w:tc>
      </w:tr>
      <w:tr>
        <w:trPr/>
        <w:tc>
          <w:tcPr>
            <w:tcW w:w="2304" w:type="dxa"/>
            <w:tcBorders>
              <w:top w:val="single" w:sz="6" w:space="0" w:color="D0D7DE"/>
              <w:left w:val="single" w:sz="6" w:space="0" w:color="D0D7DE"/>
              <w:bottom w:val="single" w:sz="6" w:space="0" w:color="D0D7DE"/>
              <w:right w:val="single" w:sz="6" w:space="0" w:color="D0D7DE"/>
            </w:tcBorders>
            <w:vAlign w:val="center"/>
          </w:tcPr>
          <w:p>
            <w:pPr>
              <w:pStyle w:val="Normal"/>
              <w:bidi w:val="0"/>
              <w:spacing w:lineRule="auto" w:line="240" w:before="0" w:after="60"/>
              <w:jc w:val="left"/>
              <w:rPr/>
            </w:pPr>
            <w:r>
              <w:rPr>
                <w:color w:val="000000"/>
                <w:sz w:val="21"/>
              </w:rPr>
              <w:t>OpenAI embeddings</w:t>
            </w:r>
          </w:p>
        </w:tc>
        <w:tc>
          <w:tcPr>
            <w:tcW w:w="7056" w:type="dxa"/>
            <w:tcBorders>
              <w:top w:val="single" w:sz="6" w:space="0" w:color="D0D7DE"/>
              <w:left w:val="single" w:sz="6" w:space="0" w:color="D0D7DE"/>
              <w:bottom w:val="single" w:sz="6" w:space="0" w:color="D0D7DE"/>
              <w:right w:val="single" w:sz="6" w:space="0" w:color="D0D7DE"/>
            </w:tcBorders>
            <w:vAlign w:val="center"/>
          </w:tcPr>
          <w:p>
            <w:pPr>
              <w:pStyle w:val="Normal"/>
              <w:bidi w:val="0"/>
              <w:spacing w:lineRule="auto" w:line="240" w:before="0" w:after="60"/>
              <w:jc w:val="left"/>
              <w:rPr/>
            </w:pPr>
            <w:r>
              <w:rPr>
                <w:color w:val="000000"/>
                <w:sz w:val="21"/>
              </w:rPr>
              <w:t>Serve as one embedding baseline in the embedding comparison table.</w:t>
            </w:r>
          </w:p>
        </w:tc>
      </w:tr>
      <w:tr>
        <w:trPr/>
        <w:tc>
          <w:tcPr>
            <w:tcW w:w="2304" w:type="dxa"/>
            <w:tcBorders>
              <w:top w:val="single" w:sz="6" w:space="0" w:color="D0D7DE"/>
              <w:left w:val="single" w:sz="6" w:space="0" w:color="D0D7DE"/>
              <w:bottom w:val="single" w:sz="6" w:space="0" w:color="D0D7DE"/>
              <w:right w:val="single" w:sz="6" w:space="0" w:color="D0D7DE"/>
            </w:tcBorders>
            <w:vAlign w:val="center"/>
          </w:tcPr>
          <w:p>
            <w:pPr>
              <w:pStyle w:val="Normal"/>
              <w:bidi w:val="0"/>
              <w:spacing w:lineRule="auto" w:line="240" w:before="0" w:after="60"/>
              <w:jc w:val="left"/>
              <w:rPr/>
            </w:pPr>
            <w:r>
              <w:rPr>
                <w:color w:val="000000"/>
                <w:sz w:val="21"/>
              </w:rPr>
              <w:t>BGE embeddings</w:t>
            </w:r>
          </w:p>
        </w:tc>
        <w:tc>
          <w:tcPr>
            <w:tcW w:w="7056" w:type="dxa"/>
            <w:tcBorders>
              <w:top w:val="single" w:sz="6" w:space="0" w:color="D0D7DE"/>
              <w:left w:val="single" w:sz="6" w:space="0" w:color="D0D7DE"/>
              <w:bottom w:val="single" w:sz="6" w:space="0" w:color="D0D7DE"/>
              <w:right w:val="single" w:sz="6" w:space="0" w:color="D0D7DE"/>
            </w:tcBorders>
            <w:vAlign w:val="center"/>
          </w:tcPr>
          <w:p>
            <w:pPr>
              <w:pStyle w:val="Normal"/>
              <w:bidi w:val="0"/>
              <w:spacing w:lineRule="auto" w:line="240" w:before="0" w:after="60"/>
              <w:jc w:val="left"/>
              <w:rPr/>
            </w:pPr>
            <w:r>
              <w:rPr>
                <w:color w:val="000000"/>
                <w:sz w:val="21"/>
              </w:rPr>
              <w:t>Serve as the second embedding baseline for side-by-side retrieval comparison.</w:t>
            </w:r>
          </w:p>
        </w:tc>
      </w:tr>
      <w:tr>
        <w:trPr/>
        <w:tc>
          <w:tcPr>
            <w:tcW w:w="2304" w:type="dxa"/>
            <w:tcBorders>
              <w:top w:val="single" w:sz="6" w:space="0" w:color="D0D7DE"/>
              <w:left w:val="single" w:sz="6" w:space="0" w:color="D0D7DE"/>
              <w:bottom w:val="single" w:sz="6" w:space="0" w:color="D0D7DE"/>
              <w:right w:val="single" w:sz="6" w:space="0" w:color="D0D7DE"/>
            </w:tcBorders>
            <w:vAlign w:val="center"/>
          </w:tcPr>
          <w:p>
            <w:pPr>
              <w:pStyle w:val="Normal"/>
              <w:bidi w:val="0"/>
              <w:spacing w:lineRule="auto" w:line="240" w:before="0" w:after="60"/>
              <w:jc w:val="left"/>
              <w:rPr/>
            </w:pPr>
            <w:r>
              <w:rPr>
                <w:color w:val="000000"/>
                <w:sz w:val="21"/>
              </w:rPr>
              <w:t>LlamaParse</w:t>
            </w:r>
          </w:p>
        </w:tc>
        <w:tc>
          <w:tcPr>
            <w:tcW w:w="7056" w:type="dxa"/>
            <w:tcBorders>
              <w:top w:val="single" w:sz="6" w:space="0" w:color="D0D7DE"/>
              <w:left w:val="single" w:sz="6" w:space="0" w:color="D0D7DE"/>
              <w:bottom w:val="single" w:sz="6" w:space="0" w:color="D0D7DE"/>
              <w:right w:val="single" w:sz="6" w:space="0" w:color="D0D7DE"/>
            </w:tcBorders>
            <w:vAlign w:val="center"/>
          </w:tcPr>
          <w:p>
            <w:pPr>
              <w:pStyle w:val="Normal"/>
              <w:bidi w:val="0"/>
              <w:spacing w:lineRule="auto" w:line="240" w:before="0" w:after="60"/>
              <w:jc w:val="left"/>
              <w:rPr/>
            </w:pPr>
            <w:r>
              <w:rPr>
                <w:color w:val="000000"/>
                <w:sz w:val="21"/>
              </w:rPr>
              <w:t>Parses optional PDF sources when available, extending the corpus beyond the built-in sample set.</w:t>
            </w:r>
          </w:p>
        </w:tc>
      </w:tr>
      <w:tr>
        <w:trPr/>
        <w:tc>
          <w:tcPr>
            <w:tcW w:w="2304" w:type="dxa"/>
            <w:tcBorders>
              <w:top w:val="single" w:sz="6" w:space="0" w:color="D0D7DE"/>
              <w:left w:val="single" w:sz="6" w:space="0" w:color="D0D7DE"/>
              <w:bottom w:val="single" w:sz="6" w:space="0" w:color="D0D7DE"/>
              <w:right w:val="single" w:sz="6" w:space="0" w:color="D0D7DE"/>
            </w:tcBorders>
            <w:vAlign w:val="center"/>
          </w:tcPr>
          <w:p>
            <w:pPr>
              <w:pStyle w:val="Normal"/>
              <w:bidi w:val="0"/>
              <w:spacing w:lineRule="auto" w:line="240" w:before="0" w:after="60"/>
              <w:jc w:val="left"/>
              <w:rPr/>
            </w:pPr>
            <w:r>
              <w:rPr>
                <w:color w:val="000000"/>
                <w:sz w:val="21"/>
              </w:rPr>
              <w:t>Streamlit</w:t>
            </w:r>
          </w:p>
        </w:tc>
        <w:tc>
          <w:tcPr>
            <w:tcW w:w="7056" w:type="dxa"/>
            <w:tcBorders>
              <w:top w:val="single" w:sz="6" w:space="0" w:color="D0D7DE"/>
              <w:left w:val="single" w:sz="6" w:space="0" w:color="D0D7DE"/>
              <w:bottom w:val="single" w:sz="6" w:space="0" w:color="D0D7DE"/>
              <w:right w:val="single" w:sz="6" w:space="0" w:color="D0D7DE"/>
            </w:tcBorders>
            <w:vAlign w:val="center"/>
          </w:tcPr>
          <w:p>
            <w:pPr>
              <w:pStyle w:val="Normal"/>
              <w:bidi w:val="0"/>
              <w:spacing w:lineRule="auto" w:line="240" w:before="0" w:after="60"/>
              <w:jc w:val="left"/>
              <w:rPr/>
            </w:pPr>
            <w:r>
              <w:rPr>
                <w:color w:val="000000"/>
                <w:sz w:val="21"/>
              </w:rPr>
              <w:t>Powers the interactive UI, comparison views, and benchmark tables.</w:t>
            </w:r>
          </w:p>
        </w:tc>
      </w:tr>
    </w:tbl>
    <w:p>
      <w:pPr>
        <w:pStyle w:val="Normal"/>
        <w:keepNext w:val="true"/>
        <w:bidi w:val="0"/>
        <w:spacing w:lineRule="auto" w:line="281" w:before="320" w:after="100"/>
        <w:jc w:val="left"/>
        <w:rPr/>
      </w:pPr>
      <w:r>
        <w:rPr>
          <w:b/>
          <w:color w:val="1F4D78"/>
          <w:sz w:val="32"/>
        </w:rPr>
        <w:t>Pipeline Architecture</w:t>
      </w:r>
    </w:p>
    <w:p>
      <w:pPr>
        <w:pStyle w:val="Normal"/>
        <w:keepNext w:val="true"/>
        <w:bidi w:val="0"/>
        <w:spacing w:lineRule="auto" w:line="281" w:before="320" w:after="100"/>
        <w:jc w:val="left"/>
        <w:rPr>
          <w:rFonts w:ascii="Calibri" w:hAnsi="Calibri"/>
          <w:b/>
          <w:color w:val="1F4D78"/>
          <w:sz w:val="32"/>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858000" cy="357822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858000" cy="3578225"/>
                    </a:xfrm>
                    <a:prstGeom prst="rect">
                      <a:avLst/>
                    </a:prstGeom>
                    <a:noFill/>
                  </pic:spPr>
                </pic:pic>
              </a:graphicData>
            </a:graphic>
          </wp:anchor>
        </w:drawing>
      </w:r>
      <w:r>
        <w:rPr>
          <w:b/>
          <w:color w:val="1F4D78"/>
          <w:sz w:val="32"/>
        </w:rPr>
        <w:t>Data and Corpus</w:t>
      </w:r>
    </w:p>
    <w:p>
      <w:pPr>
        <w:pStyle w:val="BodyText"/>
        <w:bidi w:val="0"/>
        <w:spacing w:lineRule="auto" w:line="281" w:before="320" w:after="100"/>
        <w:jc w:val="left"/>
        <w:rPr>
          <w:rFonts w:ascii="Calibri" w:hAnsi="Calibri"/>
          <w:b w:val="false"/>
          <w:i w:val="false"/>
          <w:caps w:val="false"/>
          <w:smallCaps w:val="false"/>
          <w:color w:val="000000"/>
          <w:spacing w:val="0"/>
          <w:sz w:val="22"/>
          <w:szCs w:val="22"/>
          <w:highlight w:val="none"/>
          <w:shd w:fill="auto" w:val="clear"/>
        </w:rPr>
      </w:pPr>
      <w:r>
        <w:rPr>
          <w:rFonts w:ascii="Calibri" w:hAnsi="Calibri"/>
          <w:b w:val="false"/>
          <w:i w:val="false"/>
          <w:caps w:val="false"/>
          <w:smallCaps w:val="false"/>
          <w:color w:val="000000"/>
          <w:spacing w:val="0"/>
          <w:sz w:val="22"/>
          <w:szCs w:val="22"/>
          <w:shd w:fill="auto" w:val="clear"/>
        </w:rPr>
        <w:t>The benchmark corpus includes four document families:</w:t>
      </w:r>
    </w:p>
    <w:p>
      <w:pPr>
        <w:pStyle w:val="BodyText"/>
        <w:widowControl/>
        <w:numPr>
          <w:ilvl w:val="0"/>
          <w:numId w:val="1"/>
        </w:numPr>
        <w:tabs>
          <w:tab w:val="clear" w:pos="709"/>
          <w:tab w:val="left" w:pos="0" w:leader="none"/>
        </w:tabs>
        <w:bidi w:val="0"/>
        <w:spacing w:lineRule="auto" w:line="281" w:before="0" w:after="140"/>
        <w:ind w:hanging="0" w:left="709" w:right="0"/>
        <w:jc w:val="left"/>
        <w:rPr>
          <w:rFonts w:ascii="Calibri" w:hAnsi="Calibri"/>
          <w:b w:val="false"/>
          <w:i w:val="false"/>
          <w:caps w:val="false"/>
          <w:smallCaps w:val="false"/>
          <w:color w:val="000000"/>
          <w:spacing w:val="0"/>
          <w:sz w:val="22"/>
          <w:szCs w:val="22"/>
          <w:highlight w:val="none"/>
          <w:shd w:fill="auto" w:val="clear"/>
        </w:rPr>
      </w:pPr>
      <w:r>
        <w:rPr>
          <w:rFonts w:ascii="Calibri" w:hAnsi="Calibri"/>
          <w:b w:val="false"/>
          <w:i w:val="false"/>
          <w:caps w:val="false"/>
          <w:smallCaps w:val="false"/>
          <w:color w:val="000000"/>
          <w:spacing w:val="0"/>
          <w:sz w:val="22"/>
          <w:szCs w:val="22"/>
          <w:shd w:fill="auto" w:val="clear"/>
        </w:rPr>
        <w:t>SEC filings</w:t>
      </w:r>
    </w:p>
    <w:p>
      <w:pPr>
        <w:pStyle w:val="BodyText"/>
        <w:widowControl/>
        <w:numPr>
          <w:ilvl w:val="0"/>
          <w:numId w:val="1"/>
        </w:numPr>
        <w:tabs>
          <w:tab w:val="clear" w:pos="709"/>
          <w:tab w:val="left" w:pos="0" w:leader="none"/>
        </w:tabs>
        <w:bidi w:val="0"/>
        <w:spacing w:lineRule="auto" w:line="281" w:before="0" w:after="140"/>
        <w:ind w:hanging="0" w:left="709"/>
        <w:jc w:val="left"/>
        <w:rPr>
          <w:rFonts w:ascii="Calibri" w:hAnsi="Calibri"/>
          <w:b w:val="false"/>
          <w:i w:val="false"/>
          <w:caps w:val="false"/>
          <w:smallCaps w:val="false"/>
          <w:color w:val="000000"/>
          <w:spacing w:val="0"/>
          <w:sz w:val="22"/>
          <w:szCs w:val="22"/>
          <w:highlight w:val="none"/>
          <w:shd w:fill="auto" w:val="clear"/>
        </w:rPr>
      </w:pPr>
      <w:r>
        <w:rPr>
          <w:rFonts w:ascii="Calibri" w:hAnsi="Calibri"/>
          <w:b w:val="false"/>
          <w:i w:val="false"/>
          <w:caps w:val="false"/>
          <w:smallCaps w:val="false"/>
          <w:color w:val="000000"/>
          <w:spacing w:val="0"/>
          <w:sz w:val="22"/>
          <w:szCs w:val="22"/>
          <w:shd w:fill="auto" w:val="clear"/>
        </w:rPr>
        <w:t>Earnings call transcripts</w:t>
      </w:r>
    </w:p>
    <w:p>
      <w:pPr>
        <w:pStyle w:val="BodyText"/>
        <w:widowControl/>
        <w:numPr>
          <w:ilvl w:val="0"/>
          <w:numId w:val="1"/>
        </w:numPr>
        <w:tabs>
          <w:tab w:val="clear" w:pos="709"/>
          <w:tab w:val="left" w:pos="0" w:leader="none"/>
        </w:tabs>
        <w:bidi w:val="0"/>
        <w:spacing w:lineRule="auto" w:line="281" w:before="0" w:after="140"/>
        <w:ind w:hanging="0" w:left="709"/>
        <w:jc w:val="left"/>
        <w:rPr>
          <w:rFonts w:ascii="Calibri" w:hAnsi="Calibri"/>
          <w:b w:val="false"/>
          <w:i w:val="false"/>
          <w:caps w:val="false"/>
          <w:smallCaps w:val="false"/>
          <w:color w:val="000000"/>
          <w:spacing w:val="0"/>
          <w:sz w:val="22"/>
          <w:szCs w:val="22"/>
          <w:highlight w:val="none"/>
          <w:shd w:fill="auto" w:val="clear"/>
        </w:rPr>
      </w:pPr>
      <w:r>
        <w:rPr>
          <w:rFonts w:ascii="Calibri" w:hAnsi="Calibri"/>
          <w:b w:val="false"/>
          <w:i w:val="false"/>
          <w:caps w:val="false"/>
          <w:smallCaps w:val="false"/>
          <w:color w:val="000000"/>
          <w:spacing w:val="0"/>
          <w:sz w:val="22"/>
          <w:szCs w:val="22"/>
          <w:shd w:fill="auto" w:val="clear"/>
        </w:rPr>
        <w:t>Insurance claims</w:t>
      </w:r>
    </w:p>
    <w:p>
      <w:pPr>
        <w:pStyle w:val="BodyText"/>
        <w:widowControl/>
        <w:numPr>
          <w:ilvl w:val="0"/>
          <w:numId w:val="1"/>
        </w:numPr>
        <w:tabs>
          <w:tab w:val="clear" w:pos="709"/>
          <w:tab w:val="left" w:pos="0" w:leader="none"/>
        </w:tabs>
        <w:bidi w:val="0"/>
        <w:spacing w:lineRule="auto" w:line="281" w:before="0" w:after="140"/>
        <w:ind w:hanging="0" w:left="709"/>
        <w:jc w:val="left"/>
        <w:rPr>
          <w:rFonts w:ascii="Calibri" w:hAnsi="Calibri"/>
          <w:b w:val="false"/>
          <w:i w:val="false"/>
          <w:caps w:val="false"/>
          <w:smallCaps w:val="false"/>
          <w:color w:val="000000"/>
          <w:spacing w:val="0"/>
          <w:sz w:val="22"/>
          <w:szCs w:val="22"/>
          <w:highlight w:val="none"/>
          <w:shd w:fill="auto" w:val="clear"/>
        </w:rPr>
      </w:pPr>
      <w:r>
        <w:rPr>
          <w:rFonts w:ascii="Calibri" w:hAnsi="Calibri"/>
          <w:b w:val="false"/>
          <w:i w:val="false"/>
          <w:caps w:val="false"/>
          <w:smallCaps w:val="false"/>
          <w:color w:val="000000"/>
          <w:spacing w:val="0"/>
          <w:sz w:val="22"/>
          <w:szCs w:val="22"/>
          <w:shd w:fill="auto" w:val="clear"/>
        </w:rPr>
        <w:t>Loan agreements</w:t>
      </w:r>
    </w:p>
    <w:p>
      <w:pPr>
        <w:pStyle w:val="BodyText"/>
        <w:widowControl/>
        <w:bidi w:val="0"/>
        <w:spacing w:lineRule="auto" w:line="281" w:before="0" w:after="240"/>
        <w:ind w:hanging="0" w:left="0" w:right="0"/>
        <w:jc w:val="left"/>
        <w:rPr>
          <w:rFonts w:ascii="Calibri" w:hAnsi="Calibri"/>
          <w:b w:val="false"/>
          <w:i w:val="false"/>
          <w:caps w:val="false"/>
          <w:smallCaps w:val="false"/>
          <w:color w:val="000000"/>
          <w:spacing w:val="0"/>
          <w:sz w:val="22"/>
          <w:szCs w:val="22"/>
          <w:highlight w:val="none"/>
          <w:shd w:fill="auto" w:val="clear"/>
        </w:rPr>
      </w:pPr>
      <w:r>
        <w:rPr>
          <w:rFonts w:ascii="Calibri" w:hAnsi="Calibri"/>
          <w:b w:val="false"/>
          <w:i w:val="false"/>
          <w:caps w:val="false"/>
          <w:smallCaps w:val="false"/>
          <w:color w:val="000000"/>
          <w:spacing w:val="0"/>
          <w:sz w:val="22"/>
          <w:szCs w:val="22"/>
          <w:shd w:fill="auto" w:val="clear"/>
        </w:rPr>
        <w:t>For benchmark stress testing, the sample corpus is expanded with synthetic variants so the app can be evaluated across more queries, more retrieval targets, and more exact-identifier lookups.</w:t>
      </w:r>
    </w:p>
    <w:p>
      <w:pPr>
        <w:pStyle w:val="Normal"/>
        <w:bidi w:val="0"/>
        <w:spacing w:lineRule="auto" w:line="281" w:before="320" w:after="100"/>
        <w:jc w:val="left"/>
        <w:rPr>
          <w:rFonts w:ascii="Calibri" w:hAnsi="Calibri"/>
          <w:b/>
          <w:color w:val="1F4D78"/>
          <w:sz w:val="32"/>
        </w:rPr>
      </w:pPr>
      <w:r>
        <w:rPr>
          <w:b/>
          <w:color w:val="1F4D78"/>
          <w:sz w:val="32"/>
        </w:rPr>
        <w:t>Comparison Design</w:t>
      </w:r>
    </w:p>
    <w:p>
      <w:pPr>
        <w:pStyle w:val="Normal"/>
        <w:keepNext w:val="true"/>
        <w:bidi w:val="0"/>
        <w:spacing w:lineRule="auto" w:line="262" w:before="180" w:after="60"/>
        <w:jc w:val="left"/>
        <w:rPr/>
      </w:pPr>
      <w:r>
        <w:rPr>
          <w:b/>
          <w:color w:val="2E74B5"/>
          <w:sz w:val="26"/>
        </w:rPr>
        <w:t>Fixed-size chunking</w:t>
      </w:r>
    </w:p>
    <w:p>
      <w:pPr>
        <w:pStyle w:val="Normal"/>
        <w:bidi w:val="0"/>
        <w:spacing w:lineRule="auto" w:line="250" w:before="0" w:after="60"/>
        <w:jc w:val="left"/>
        <w:rPr/>
      </w:pPr>
      <w:r>
        <w:rPr>
          <w:color w:val="000000"/>
          <w:sz w:val="22"/>
        </w:rPr>
        <w:t>Documents are split into overlapping word windows. This is the most mechanical baseline and is useful for broad keyword retrieval, but it can break sentence-level meaning when the answer depends on a precise clause, claim, or numeric detail.</w:t>
      </w:r>
    </w:p>
    <w:p>
      <w:pPr>
        <w:pStyle w:val="Normal"/>
        <w:keepNext w:val="true"/>
        <w:bidi w:val="0"/>
        <w:spacing w:lineRule="auto" w:line="262" w:before="180" w:after="60"/>
        <w:jc w:val="left"/>
        <w:rPr/>
      </w:pPr>
      <w:r>
        <w:rPr>
          <w:b/>
          <w:color w:val="2E74B5"/>
          <w:sz w:val="26"/>
        </w:rPr>
        <w:t>Semantic chunking</w:t>
      </w:r>
    </w:p>
    <w:p>
      <w:pPr>
        <w:pStyle w:val="Normal"/>
        <w:bidi w:val="0"/>
        <w:spacing w:lineRule="auto" w:line="250" w:before="0" w:after="60"/>
        <w:jc w:val="left"/>
        <w:rPr/>
      </w:pPr>
      <w:r>
        <w:rPr>
          <w:color w:val="000000"/>
          <w:sz w:val="22"/>
        </w:rPr>
        <w:t>Documents are split along sentence-aware boundaries so that each chunk better preserves a complete thought. This tends to improve retrieval precision when the query is looking for a statement, a risk disclosure, or a claim-specific detail.</w:t>
      </w:r>
    </w:p>
    <w:p>
      <w:pPr>
        <w:pStyle w:val="Normal"/>
        <w:keepNext w:val="true"/>
        <w:bidi w:val="0"/>
        <w:spacing w:lineRule="auto" w:line="262" w:before="180" w:after="60"/>
        <w:jc w:val="left"/>
        <w:rPr/>
      </w:pPr>
      <w:r>
        <w:rPr>
          <w:b/>
          <w:color w:val="2E74B5"/>
          <w:sz w:val="26"/>
        </w:rPr>
        <w:t>Hybrid retrieval with RRF</w:t>
      </w:r>
    </w:p>
    <w:p>
      <w:pPr>
        <w:pStyle w:val="Normal"/>
        <w:bidi w:val="0"/>
        <w:spacing w:lineRule="auto" w:line="250" w:before="0" w:after="100"/>
        <w:jc w:val="left"/>
        <w:rPr/>
      </w:pPr>
      <w:r>
        <w:rPr>
          <w:color w:val="000000"/>
          <w:sz w:val="22"/>
        </w:rPr>
        <w:t>Hybrid retrieval runs fixed-size and semantic retrieval in parallel, then merges their ranked results using Reciprocal Rank Fusion. This helps recover evidence that one strategy may miss while still promoting strong candidates from both retrieval paths.</w:t>
      </w:r>
    </w:p>
    <w:p>
      <w:pPr>
        <w:pStyle w:val="Normal"/>
        <w:keepNext w:val="true"/>
        <w:bidi w:val="0"/>
        <w:spacing w:lineRule="auto" w:line="281" w:before="320" w:after="100"/>
        <w:jc w:val="left"/>
        <w:rPr/>
      </w:pPr>
      <w:r>
        <w:rPr>
          <w:b/>
          <w:color w:val="1F4D78"/>
          <w:sz w:val="32"/>
        </w:rPr>
        <w:t>Reranking Impact</w:t>
      </w:r>
    </w:p>
    <w:p>
      <w:pPr>
        <w:pStyle w:val="Normal"/>
        <w:bidi w:val="0"/>
        <w:spacing w:lineRule="auto" w:line="250" w:before="0" w:after="60"/>
        <w:jc w:val="left"/>
        <w:rPr/>
      </w:pPr>
      <w:r>
        <w:rPr>
          <w:color w:val="000000"/>
          <w:sz w:val="22"/>
        </w:rPr>
        <w:t>Reranking does not replace retrieval. It reorders the retrieved candidates after the first pass so the most relevant passages rise to the top. In practice, this improves the usefulness of the context presented to the answer generator, especially when the first retrieval pass returns several plausible but uneven candidates.</w:t>
      </w:r>
    </w:p>
    <w:p>
      <w:pPr>
        <w:pStyle w:val="Normal"/>
        <w:bidi w:val="0"/>
        <w:spacing w:lineRule="auto" w:line="250" w:before="0" w:after="80"/>
        <w:jc w:val="left"/>
        <w:rPr>
          <w:rFonts w:ascii="Calibri" w:hAnsi="Calibri"/>
          <w:color w:val="000000"/>
          <w:sz w:val="22"/>
        </w:rPr>
      </w:pPr>
      <w:r>
        <w:rPr>
          <w:color w:val="000000"/>
          <w:sz w:val="22"/>
        </w:rPr>
        <w:t>The impact should be interpreted as an ordering improvement rather than a recall improvement. If reranking lifts the first relevant source, the answer often becomes more focused and easier to defend with evidence. If reranking improves rank but the answer still wanders, the generation layer may need tightening.</w:t>
      </w:r>
    </w:p>
    <w:p>
      <w:pPr>
        <w:pStyle w:val="BodyText"/>
        <w:bidi w:val="0"/>
        <w:spacing w:lineRule="auto" w:line="250" w:before="0" w:after="80"/>
        <w:jc w:val="left"/>
        <w:rPr>
          <w:rFonts w:ascii="Calibri" w:hAnsi="Calibri"/>
          <w:b w:val="false"/>
          <w:i w:val="false"/>
          <w:caps w:val="false"/>
          <w:smallCaps w:val="false"/>
          <w:color w:val="000000"/>
          <w:spacing w:val="0"/>
          <w:sz w:val="22"/>
          <w:szCs w:val="22"/>
          <w:highlight w:val="none"/>
          <w:shd w:fill="auto" w:val="clear"/>
        </w:rPr>
      </w:pPr>
      <w:r>
        <w:rPr>
          <w:rFonts w:ascii="Calibri" w:hAnsi="Calibri"/>
          <w:b w:val="false"/>
          <w:i w:val="false"/>
          <w:caps w:val="false"/>
          <w:smallCaps w:val="false"/>
          <w:color w:val="000000"/>
          <w:spacing w:val="0"/>
          <w:sz w:val="22"/>
          <w:szCs w:val="22"/>
          <w:shd w:fill="auto" w:val="clear"/>
        </w:rPr>
        <w:t>Reranking is applied after the first retrieval pass. Its job is not to discover new documents from scratch, but to reorder the retrieved candidates so the most relevant passages rise to the top.</w:t>
      </w:r>
    </w:p>
    <w:p>
      <w:pPr>
        <w:pStyle w:val="BodyText"/>
        <w:widowControl/>
        <w:bidi w:val="0"/>
        <w:spacing w:lineRule="auto" w:line="250" w:before="0" w:after="240"/>
        <w:ind w:hanging="0" w:left="0" w:right="0"/>
        <w:jc w:val="left"/>
        <w:rPr>
          <w:rFonts w:ascii="Calibri" w:hAnsi="Calibri"/>
          <w:b w:val="false"/>
          <w:i w:val="false"/>
          <w:caps w:val="false"/>
          <w:smallCaps w:val="false"/>
          <w:color w:val="000000"/>
          <w:spacing w:val="0"/>
          <w:sz w:val="22"/>
          <w:szCs w:val="22"/>
          <w:highlight w:val="none"/>
          <w:shd w:fill="auto" w:val="clear"/>
        </w:rPr>
      </w:pPr>
      <w:r>
        <w:rPr>
          <w:rFonts w:ascii="Calibri" w:hAnsi="Calibri"/>
          <w:b w:val="false"/>
          <w:i w:val="false"/>
          <w:caps w:val="false"/>
          <w:smallCaps w:val="false"/>
          <w:color w:val="000000"/>
          <w:spacing w:val="0"/>
          <w:sz w:val="22"/>
          <w:szCs w:val="22"/>
          <w:shd w:fill="auto" w:val="clear"/>
        </w:rPr>
        <w:t>In practice, reranking can help when:</w:t>
      </w:r>
    </w:p>
    <w:p>
      <w:pPr>
        <w:pStyle w:val="BodyText"/>
        <w:widowControl/>
        <w:numPr>
          <w:ilvl w:val="0"/>
          <w:numId w:val="2"/>
        </w:numPr>
        <w:tabs>
          <w:tab w:val="clear" w:pos="709"/>
          <w:tab w:val="left" w:pos="0" w:leader="none"/>
        </w:tabs>
        <w:bidi w:val="0"/>
        <w:spacing w:lineRule="auto" w:line="250" w:before="0" w:after="140"/>
        <w:ind w:hanging="0" w:left="709" w:right="0"/>
        <w:jc w:val="left"/>
        <w:rPr>
          <w:rFonts w:ascii="Calibri" w:hAnsi="Calibri"/>
          <w:b w:val="false"/>
          <w:i w:val="false"/>
          <w:caps w:val="false"/>
          <w:smallCaps w:val="false"/>
          <w:color w:val="000000"/>
          <w:spacing w:val="0"/>
          <w:sz w:val="22"/>
          <w:szCs w:val="22"/>
          <w:highlight w:val="none"/>
          <w:shd w:fill="auto" w:val="clear"/>
        </w:rPr>
      </w:pPr>
      <w:r>
        <w:rPr>
          <w:rFonts w:ascii="Calibri" w:hAnsi="Calibri"/>
          <w:b w:val="false"/>
          <w:i w:val="false"/>
          <w:caps w:val="false"/>
          <w:smallCaps w:val="false"/>
          <w:color w:val="000000"/>
          <w:spacing w:val="0"/>
          <w:sz w:val="22"/>
          <w:szCs w:val="22"/>
          <w:shd w:fill="auto" w:val="clear"/>
        </w:rPr>
        <w:t>the query is broad and returns several plausible candidates</w:t>
      </w:r>
    </w:p>
    <w:p>
      <w:pPr>
        <w:pStyle w:val="BodyText"/>
        <w:widowControl/>
        <w:numPr>
          <w:ilvl w:val="0"/>
          <w:numId w:val="2"/>
        </w:numPr>
        <w:tabs>
          <w:tab w:val="clear" w:pos="709"/>
          <w:tab w:val="left" w:pos="0" w:leader="none"/>
        </w:tabs>
        <w:bidi w:val="0"/>
        <w:spacing w:lineRule="auto" w:line="250" w:before="0" w:after="140"/>
        <w:ind w:hanging="0" w:left="709"/>
        <w:jc w:val="left"/>
        <w:rPr>
          <w:rFonts w:ascii="Calibri" w:hAnsi="Calibri"/>
          <w:b w:val="false"/>
          <w:i w:val="false"/>
          <w:caps w:val="false"/>
          <w:smallCaps w:val="false"/>
          <w:color w:val="000000"/>
          <w:spacing w:val="0"/>
          <w:sz w:val="22"/>
          <w:szCs w:val="22"/>
          <w:highlight w:val="none"/>
          <w:shd w:fill="auto" w:val="clear"/>
        </w:rPr>
      </w:pPr>
      <w:r>
        <w:rPr>
          <w:rFonts w:ascii="Calibri" w:hAnsi="Calibri"/>
          <w:b w:val="false"/>
          <w:i w:val="false"/>
          <w:caps w:val="false"/>
          <w:smallCaps w:val="false"/>
          <w:color w:val="000000"/>
          <w:spacing w:val="0"/>
          <w:sz w:val="22"/>
          <w:szCs w:val="22"/>
          <w:shd w:fill="auto" w:val="clear"/>
        </w:rPr>
        <w:t>the first retrieval pass brings back mixed evidence quality</w:t>
      </w:r>
    </w:p>
    <w:p>
      <w:pPr>
        <w:pStyle w:val="BodyText"/>
        <w:widowControl/>
        <w:numPr>
          <w:ilvl w:val="0"/>
          <w:numId w:val="2"/>
        </w:numPr>
        <w:tabs>
          <w:tab w:val="clear" w:pos="709"/>
          <w:tab w:val="left" w:pos="0" w:leader="none"/>
        </w:tabs>
        <w:bidi w:val="0"/>
        <w:spacing w:lineRule="auto" w:line="250" w:before="0" w:after="140"/>
        <w:ind w:hanging="0" w:left="709"/>
        <w:jc w:val="left"/>
        <w:rPr>
          <w:rFonts w:ascii="Calibri" w:hAnsi="Calibri"/>
          <w:b w:val="false"/>
          <w:i w:val="false"/>
          <w:caps w:val="false"/>
          <w:smallCaps w:val="false"/>
          <w:color w:val="000000"/>
          <w:spacing w:val="0"/>
          <w:sz w:val="22"/>
          <w:szCs w:val="22"/>
          <w:highlight w:val="none"/>
          <w:shd w:fill="auto" w:val="clear"/>
        </w:rPr>
      </w:pPr>
      <w:r>
        <w:rPr>
          <w:rFonts w:ascii="Calibri" w:hAnsi="Calibri"/>
          <w:b w:val="false"/>
          <w:i w:val="false"/>
          <w:caps w:val="false"/>
          <w:smallCaps w:val="false"/>
          <w:color w:val="000000"/>
          <w:spacing w:val="0"/>
          <w:sz w:val="22"/>
          <w:szCs w:val="22"/>
          <w:shd w:fill="auto" w:val="clear"/>
        </w:rPr>
        <w:t>the most relevant source is present, but not ranked first</w:t>
      </w:r>
    </w:p>
    <w:p>
      <w:pPr>
        <w:pStyle w:val="BodyText"/>
        <w:widowControl/>
        <w:bidi w:val="0"/>
        <w:spacing w:lineRule="auto" w:line="250" w:before="0" w:after="240"/>
        <w:ind w:hanging="0" w:left="0" w:right="0"/>
        <w:jc w:val="left"/>
        <w:rPr>
          <w:rFonts w:ascii="Calibri" w:hAnsi="Calibri"/>
          <w:b w:val="false"/>
          <w:i w:val="false"/>
          <w:caps w:val="false"/>
          <w:smallCaps w:val="false"/>
          <w:color w:val="000000"/>
          <w:spacing w:val="0"/>
          <w:sz w:val="22"/>
          <w:szCs w:val="22"/>
          <w:highlight w:val="none"/>
          <w:shd w:fill="auto" w:val="clear"/>
        </w:rPr>
      </w:pPr>
      <w:r>
        <w:rPr>
          <w:rFonts w:ascii="Calibri" w:hAnsi="Calibri"/>
          <w:b w:val="false"/>
          <w:i w:val="false"/>
          <w:caps w:val="false"/>
          <w:smallCaps w:val="false"/>
          <w:color w:val="000000"/>
          <w:spacing w:val="0"/>
          <w:sz w:val="22"/>
          <w:szCs w:val="22"/>
          <w:shd w:fill="auto" w:val="clear"/>
        </w:rPr>
        <w:t>Reranking usually improves the top of the list more than the total recall. That is why it is best evaluated together with retrieval quality, not in isolation.</w:t>
      </w:r>
    </w:p>
    <w:p>
      <w:pPr>
        <w:pStyle w:val="Heading2"/>
        <w:bidi w:val="0"/>
        <w:spacing w:lineRule="auto" w:line="250" w:before="0" w:after="80"/>
        <w:jc w:val="left"/>
        <w:rPr>
          <w:rFonts w:ascii="Calibri" w:hAnsi="Calibri"/>
          <w:b/>
          <w:bCs/>
          <w:i w:val="false"/>
          <w:caps w:val="false"/>
          <w:smallCaps w:val="false"/>
          <w:color w:val="000000"/>
          <w:spacing w:val="0"/>
          <w:sz w:val="32"/>
          <w:szCs w:val="32"/>
          <w:highlight w:val="none"/>
          <w:shd w:fill="auto" w:val="clear"/>
        </w:rPr>
      </w:pPr>
      <w:bookmarkStart w:id="0" w:name="how-to-read-the-comparison-report"/>
      <w:bookmarkEnd w:id="0"/>
      <w:r>
        <w:rPr>
          <w:rFonts w:ascii="Calibri" w:hAnsi="Calibri"/>
          <w:b/>
          <w:bCs/>
          <w:i w:val="false"/>
          <w:caps w:val="false"/>
          <w:smallCaps w:val="false"/>
          <w:color w:val="000000"/>
          <w:spacing w:val="0"/>
          <w:sz w:val="32"/>
          <w:szCs w:val="32"/>
          <w:shd w:fill="auto" w:val="clear"/>
        </w:rPr>
        <w:t>How to Read the Comparison Report</w:t>
      </w:r>
    </w:p>
    <w:p>
      <w:pPr>
        <w:pStyle w:val="BodyText"/>
        <w:widowControl/>
        <w:bidi w:val="0"/>
        <w:spacing w:lineRule="auto" w:line="250" w:before="0" w:after="240"/>
        <w:ind w:hanging="0" w:left="0" w:right="0"/>
        <w:jc w:val="left"/>
        <w:rPr>
          <w:rFonts w:ascii="Calibri" w:hAnsi="Calibri"/>
          <w:b w:val="false"/>
          <w:i w:val="false"/>
          <w:caps w:val="false"/>
          <w:smallCaps w:val="false"/>
          <w:color w:val="000000"/>
          <w:spacing w:val="0"/>
          <w:sz w:val="22"/>
          <w:szCs w:val="22"/>
          <w:highlight w:val="none"/>
          <w:shd w:fill="auto" w:val="clear"/>
        </w:rPr>
      </w:pPr>
      <w:r>
        <w:rPr>
          <w:rFonts w:ascii="Calibri" w:hAnsi="Calibri"/>
          <w:b w:val="false"/>
          <w:i w:val="false"/>
          <w:caps w:val="false"/>
          <w:smallCaps w:val="false"/>
          <w:color w:val="000000"/>
          <w:spacing w:val="0"/>
          <w:sz w:val="22"/>
          <w:szCs w:val="22"/>
          <w:shd w:fill="auto" w:val="clear"/>
        </w:rPr>
        <w:t>When reviewing the report, look for these patterns:</w:t>
      </w:r>
    </w:p>
    <w:p>
      <w:pPr>
        <w:pStyle w:val="BodyText"/>
        <w:widowControl/>
        <w:numPr>
          <w:ilvl w:val="0"/>
          <w:numId w:val="3"/>
        </w:numPr>
        <w:tabs>
          <w:tab w:val="clear" w:pos="709"/>
          <w:tab w:val="left" w:pos="0" w:leader="none"/>
        </w:tabs>
        <w:bidi w:val="0"/>
        <w:spacing w:lineRule="auto" w:line="250" w:before="0" w:after="140"/>
        <w:ind w:hanging="0" w:left="709" w:right="0"/>
        <w:jc w:val="left"/>
        <w:rPr>
          <w:rFonts w:ascii="Calibri" w:hAnsi="Calibri"/>
          <w:b w:val="false"/>
          <w:i w:val="false"/>
          <w:caps w:val="false"/>
          <w:smallCaps w:val="false"/>
          <w:color w:val="000000"/>
          <w:spacing w:val="0"/>
          <w:sz w:val="22"/>
          <w:szCs w:val="22"/>
          <w:highlight w:val="none"/>
          <w:shd w:fill="auto" w:val="clear"/>
        </w:rPr>
      </w:pPr>
      <w:r>
        <w:rPr>
          <w:rFonts w:ascii="Calibri" w:hAnsi="Calibri"/>
          <w:b w:val="false"/>
          <w:i w:val="false"/>
          <w:caps w:val="false"/>
          <w:smallCaps w:val="false"/>
          <w:color w:val="000000"/>
          <w:spacing w:val="0"/>
          <w:sz w:val="22"/>
          <w:szCs w:val="22"/>
          <w:shd w:fill="auto" w:val="clear"/>
        </w:rPr>
        <w:t>Higher first-hit rank means the strategy found the right evidence earlier.</w:t>
      </w:r>
    </w:p>
    <w:p>
      <w:pPr>
        <w:pStyle w:val="BodyText"/>
        <w:widowControl/>
        <w:numPr>
          <w:ilvl w:val="0"/>
          <w:numId w:val="3"/>
        </w:numPr>
        <w:tabs>
          <w:tab w:val="clear" w:pos="709"/>
          <w:tab w:val="left" w:pos="0" w:leader="none"/>
        </w:tabs>
        <w:bidi w:val="0"/>
        <w:spacing w:lineRule="auto" w:line="250" w:before="0" w:after="140"/>
        <w:ind w:hanging="0" w:left="709"/>
        <w:jc w:val="left"/>
        <w:rPr>
          <w:rFonts w:ascii="Calibri" w:hAnsi="Calibri"/>
          <w:b w:val="false"/>
          <w:i w:val="false"/>
          <w:caps w:val="false"/>
          <w:smallCaps w:val="false"/>
          <w:color w:val="000000"/>
          <w:spacing w:val="0"/>
          <w:sz w:val="22"/>
          <w:szCs w:val="22"/>
          <w:highlight w:val="none"/>
          <w:shd w:fill="auto" w:val="clear"/>
        </w:rPr>
      </w:pPr>
      <w:r>
        <w:rPr>
          <w:rFonts w:ascii="Calibri" w:hAnsi="Calibri"/>
          <w:b w:val="false"/>
          <w:i w:val="false"/>
          <w:caps w:val="false"/>
          <w:smallCaps w:val="false"/>
          <w:color w:val="000000"/>
          <w:spacing w:val="0"/>
          <w:sz w:val="22"/>
          <w:szCs w:val="22"/>
          <w:shd w:fill="auto" w:val="clear"/>
        </w:rPr>
        <w:t>Higher reciprocal rank means the right evidence is closer to the top.</w:t>
      </w:r>
    </w:p>
    <w:p>
      <w:pPr>
        <w:pStyle w:val="BodyText"/>
        <w:widowControl/>
        <w:numPr>
          <w:ilvl w:val="0"/>
          <w:numId w:val="3"/>
        </w:numPr>
        <w:tabs>
          <w:tab w:val="clear" w:pos="709"/>
          <w:tab w:val="left" w:pos="0" w:leader="none"/>
        </w:tabs>
        <w:bidi w:val="0"/>
        <w:spacing w:lineRule="auto" w:line="250" w:before="0" w:after="140"/>
        <w:ind w:hanging="0" w:left="709"/>
        <w:jc w:val="left"/>
        <w:rPr>
          <w:rFonts w:ascii="Calibri" w:hAnsi="Calibri"/>
          <w:b w:val="false"/>
          <w:i w:val="false"/>
          <w:caps w:val="false"/>
          <w:smallCaps w:val="false"/>
          <w:color w:val="000000"/>
          <w:spacing w:val="0"/>
          <w:sz w:val="22"/>
          <w:szCs w:val="22"/>
          <w:highlight w:val="none"/>
          <w:shd w:fill="auto" w:val="clear"/>
        </w:rPr>
      </w:pPr>
      <w:r>
        <w:rPr>
          <w:rFonts w:ascii="Calibri" w:hAnsi="Calibri"/>
          <w:b w:val="false"/>
          <w:i w:val="false"/>
          <w:caps w:val="false"/>
          <w:smallCaps w:val="false"/>
          <w:color w:val="000000"/>
          <w:spacing w:val="0"/>
          <w:sz w:val="22"/>
          <w:szCs w:val="22"/>
          <w:shd w:fill="auto" w:val="clear"/>
        </w:rPr>
        <w:t>Better faithfulness means the answer stayed more tightly grounded in the retrieved chunks.</w:t>
      </w:r>
    </w:p>
    <w:p>
      <w:pPr>
        <w:pStyle w:val="BodyText"/>
        <w:widowControl/>
        <w:numPr>
          <w:ilvl w:val="0"/>
          <w:numId w:val="3"/>
        </w:numPr>
        <w:tabs>
          <w:tab w:val="clear" w:pos="709"/>
          <w:tab w:val="left" w:pos="0" w:leader="none"/>
        </w:tabs>
        <w:bidi w:val="0"/>
        <w:spacing w:lineRule="auto" w:line="250" w:before="0" w:after="140"/>
        <w:ind w:hanging="0" w:left="709"/>
        <w:jc w:val="left"/>
        <w:rPr>
          <w:rFonts w:ascii="Calibri" w:hAnsi="Calibri"/>
          <w:b w:val="false"/>
          <w:i w:val="false"/>
          <w:caps w:val="false"/>
          <w:smallCaps w:val="false"/>
          <w:color w:val="000000"/>
          <w:spacing w:val="0"/>
          <w:sz w:val="22"/>
          <w:szCs w:val="22"/>
          <w:highlight w:val="none"/>
          <w:shd w:fill="auto" w:val="clear"/>
        </w:rPr>
      </w:pPr>
      <w:r>
        <w:rPr>
          <w:rFonts w:ascii="Calibri" w:hAnsi="Calibri"/>
          <w:b w:val="false"/>
          <w:i w:val="false"/>
          <w:caps w:val="false"/>
          <w:smallCaps w:val="false"/>
          <w:color w:val="000000"/>
          <w:spacing w:val="0"/>
          <w:sz w:val="22"/>
          <w:szCs w:val="22"/>
          <w:shd w:fill="auto" w:val="clear"/>
        </w:rPr>
        <w:t>If reranking improves rank but not faithfulness, the answer generator may still be too loose.</w:t>
      </w:r>
    </w:p>
    <w:p>
      <w:pPr>
        <w:pStyle w:val="BodyText"/>
        <w:widowControl/>
        <w:numPr>
          <w:ilvl w:val="0"/>
          <w:numId w:val="3"/>
        </w:numPr>
        <w:tabs>
          <w:tab w:val="clear" w:pos="709"/>
          <w:tab w:val="left" w:pos="0" w:leader="none"/>
        </w:tabs>
        <w:bidi w:val="0"/>
        <w:spacing w:lineRule="auto" w:line="250" w:before="0" w:after="140"/>
        <w:ind w:hanging="0" w:left="709"/>
        <w:jc w:val="left"/>
        <w:rPr>
          <w:rFonts w:ascii="Calibri" w:hAnsi="Calibri"/>
          <w:b w:val="false"/>
          <w:i w:val="false"/>
          <w:caps w:val="false"/>
          <w:smallCaps w:val="false"/>
          <w:color w:val="000000"/>
          <w:spacing w:val="0"/>
          <w:sz w:val="22"/>
          <w:szCs w:val="22"/>
          <w:highlight w:val="none"/>
          <w:shd w:fill="auto" w:val="clear"/>
        </w:rPr>
      </w:pPr>
      <w:r>
        <w:rPr>
          <w:rFonts w:ascii="Calibri" w:hAnsi="Calibri"/>
          <w:b w:val="false"/>
          <w:i w:val="false"/>
          <w:caps w:val="false"/>
          <w:smallCaps w:val="false"/>
          <w:color w:val="000000"/>
          <w:spacing w:val="0"/>
          <w:sz w:val="22"/>
          <w:szCs w:val="22"/>
          <w:shd w:fill="auto" w:val="clear"/>
        </w:rPr>
        <w:t>If hybrid retrieval improves recall, it is often a good default for mixed document families.</w:t>
      </w:r>
    </w:p>
    <w:p>
      <w:pPr>
        <w:pStyle w:val="Heading2"/>
        <w:widowControl/>
        <w:pBdr>
          <w:bottom w:val="single" w:sz="2" w:space="1" w:color="FFFFFF"/>
        </w:pBdr>
        <w:bidi w:val="0"/>
        <w:spacing w:lineRule="auto" w:line="300" w:before="360" w:after="240"/>
        <w:ind w:hanging="0" w:left="0" w:right="0"/>
        <w:jc w:val="left"/>
        <w:rPr>
          <w:rFonts w:ascii="Calibri" w:hAnsi="Calibri"/>
          <w:b/>
          <w:bCs/>
          <w:i w:val="false"/>
          <w:caps w:val="false"/>
          <w:smallCaps w:val="false"/>
          <w:color w:val="000000"/>
          <w:spacing w:val="0"/>
          <w:sz w:val="32"/>
          <w:szCs w:val="32"/>
          <w:highlight w:val="none"/>
          <w:shd w:fill="auto" w:val="clear"/>
        </w:rPr>
      </w:pPr>
      <w:bookmarkStart w:id="1" w:name="what-the-benchmark-shows"/>
      <w:bookmarkEnd w:id="1"/>
      <w:r>
        <w:rPr>
          <w:rFonts w:ascii="Calibri" w:hAnsi="Calibri"/>
          <w:b/>
          <w:bCs/>
          <w:i w:val="false"/>
          <w:caps w:val="false"/>
          <w:smallCaps w:val="false"/>
          <w:color w:val="000000"/>
          <w:spacing w:val="0"/>
          <w:sz w:val="32"/>
          <w:szCs w:val="32"/>
          <w:shd w:fill="auto" w:val="clear"/>
        </w:rPr>
        <w:t>What the Benchmark Shows</w:t>
      </w:r>
    </w:p>
    <w:p>
      <w:pPr>
        <w:pStyle w:val="BodyText"/>
        <w:widowControl/>
        <w:bidi w:val="0"/>
        <w:spacing w:lineRule="auto" w:line="250" w:before="0" w:after="240"/>
        <w:ind w:hanging="0" w:left="0" w:right="0"/>
        <w:jc w:val="left"/>
        <w:rPr>
          <w:rFonts w:ascii="Calibri" w:hAnsi="Calibri"/>
          <w:b w:val="false"/>
          <w:i w:val="false"/>
          <w:caps w:val="false"/>
          <w:smallCaps w:val="false"/>
          <w:color w:val="000000"/>
          <w:spacing w:val="0"/>
          <w:sz w:val="22"/>
          <w:szCs w:val="22"/>
          <w:highlight w:val="none"/>
          <w:shd w:fill="auto" w:val="clear"/>
        </w:rPr>
      </w:pPr>
      <w:r>
        <w:rPr>
          <w:rFonts w:ascii="Calibri" w:hAnsi="Calibri"/>
          <w:b w:val="false"/>
          <w:i w:val="false"/>
          <w:caps w:val="false"/>
          <w:smallCaps w:val="false"/>
          <w:color w:val="000000"/>
          <w:spacing w:val="0"/>
          <w:sz w:val="22"/>
          <w:szCs w:val="22"/>
          <w:shd w:fill="auto" w:val="clear"/>
        </w:rPr>
        <w:t>The comparison is intended to answer a practical question: which retrieval path gives the most reliable evidence for a financial chatbot?</w:t>
      </w:r>
    </w:p>
    <w:p>
      <w:pPr>
        <w:pStyle w:val="BodyText"/>
        <w:widowControl/>
        <w:bidi w:val="0"/>
        <w:spacing w:lineRule="auto" w:line="250" w:before="0" w:after="240"/>
        <w:ind w:hanging="0" w:left="0" w:right="0"/>
        <w:jc w:val="left"/>
        <w:rPr>
          <w:rFonts w:ascii="Calibri" w:hAnsi="Calibri"/>
          <w:b w:val="false"/>
          <w:i w:val="false"/>
          <w:caps w:val="false"/>
          <w:smallCaps w:val="false"/>
          <w:color w:val="000000"/>
          <w:spacing w:val="0"/>
          <w:sz w:val="22"/>
          <w:szCs w:val="22"/>
          <w:highlight w:val="none"/>
          <w:shd w:fill="auto" w:val="clear"/>
        </w:rPr>
      </w:pPr>
      <w:r>
        <w:rPr>
          <w:rFonts w:ascii="Calibri" w:hAnsi="Calibri"/>
          <w:b w:val="false"/>
          <w:i w:val="false"/>
          <w:caps w:val="false"/>
          <w:smallCaps w:val="false"/>
          <w:color w:val="000000"/>
          <w:spacing w:val="0"/>
          <w:sz w:val="22"/>
          <w:szCs w:val="22"/>
          <w:shd w:fill="auto" w:val="clear"/>
        </w:rPr>
        <w:t>Typical interpretation:</w:t>
      </w:r>
    </w:p>
    <w:p>
      <w:pPr>
        <w:pStyle w:val="BodyText"/>
        <w:widowControl/>
        <w:numPr>
          <w:ilvl w:val="0"/>
          <w:numId w:val="4"/>
        </w:numPr>
        <w:tabs>
          <w:tab w:val="clear" w:pos="709"/>
          <w:tab w:val="left" w:pos="0" w:leader="none"/>
        </w:tabs>
        <w:bidi w:val="0"/>
        <w:spacing w:lineRule="auto" w:line="250" w:before="0" w:after="140"/>
        <w:ind w:hanging="0" w:left="709" w:right="0"/>
        <w:jc w:val="left"/>
        <w:rPr>
          <w:rFonts w:ascii="Calibri" w:hAnsi="Calibri"/>
          <w:b w:val="false"/>
          <w:i w:val="false"/>
          <w:caps w:val="false"/>
          <w:smallCaps w:val="false"/>
          <w:color w:val="000000"/>
          <w:spacing w:val="0"/>
          <w:sz w:val="22"/>
          <w:szCs w:val="22"/>
          <w:highlight w:val="none"/>
          <w:shd w:fill="auto" w:val="clear"/>
        </w:rPr>
      </w:pPr>
      <w:r>
        <w:rPr>
          <w:rFonts w:ascii="Calibri" w:hAnsi="Calibri"/>
          <w:b w:val="false"/>
          <w:i w:val="false"/>
          <w:caps w:val="false"/>
          <w:smallCaps w:val="false"/>
          <w:color w:val="000000"/>
          <w:spacing w:val="0"/>
          <w:sz w:val="22"/>
          <w:szCs w:val="22"/>
          <w:shd w:fill="auto" w:val="clear"/>
        </w:rPr>
        <w:t>Fixed-size chunking is useful as a strong baseline.</w:t>
      </w:r>
    </w:p>
    <w:p>
      <w:pPr>
        <w:pStyle w:val="BodyText"/>
        <w:widowControl/>
        <w:numPr>
          <w:ilvl w:val="0"/>
          <w:numId w:val="4"/>
        </w:numPr>
        <w:tabs>
          <w:tab w:val="clear" w:pos="709"/>
          <w:tab w:val="left" w:pos="0" w:leader="none"/>
        </w:tabs>
        <w:bidi w:val="0"/>
        <w:spacing w:lineRule="auto" w:line="250" w:before="0" w:after="140"/>
        <w:ind w:hanging="0" w:left="709"/>
        <w:jc w:val="left"/>
        <w:rPr>
          <w:rFonts w:ascii="Calibri" w:hAnsi="Calibri"/>
          <w:b w:val="false"/>
          <w:i w:val="false"/>
          <w:caps w:val="false"/>
          <w:smallCaps w:val="false"/>
          <w:color w:val="000000"/>
          <w:spacing w:val="0"/>
          <w:sz w:val="22"/>
          <w:szCs w:val="22"/>
          <w:highlight w:val="none"/>
          <w:shd w:fill="auto" w:val="clear"/>
        </w:rPr>
      </w:pPr>
      <w:r>
        <w:rPr>
          <w:rFonts w:ascii="Calibri" w:hAnsi="Calibri"/>
          <w:b w:val="false"/>
          <w:i w:val="false"/>
          <w:caps w:val="false"/>
          <w:smallCaps w:val="false"/>
          <w:color w:val="000000"/>
          <w:spacing w:val="0"/>
          <w:sz w:val="22"/>
          <w:szCs w:val="22"/>
          <w:shd w:fill="auto" w:val="clear"/>
        </w:rPr>
        <w:t>Semantic chunking can improve precision for sentence-level claims.</w:t>
      </w:r>
    </w:p>
    <w:p>
      <w:pPr>
        <w:pStyle w:val="BodyText"/>
        <w:widowControl/>
        <w:numPr>
          <w:ilvl w:val="0"/>
          <w:numId w:val="4"/>
        </w:numPr>
        <w:tabs>
          <w:tab w:val="clear" w:pos="709"/>
          <w:tab w:val="left" w:pos="0" w:leader="none"/>
        </w:tabs>
        <w:bidi w:val="0"/>
        <w:spacing w:lineRule="auto" w:line="250" w:before="0" w:after="140"/>
        <w:ind w:hanging="0" w:left="709"/>
        <w:jc w:val="left"/>
        <w:rPr>
          <w:rFonts w:ascii="Calibri" w:hAnsi="Calibri"/>
          <w:b w:val="false"/>
          <w:i w:val="false"/>
          <w:caps w:val="false"/>
          <w:smallCaps w:val="false"/>
          <w:color w:val="000000"/>
          <w:spacing w:val="0"/>
          <w:sz w:val="22"/>
          <w:szCs w:val="22"/>
          <w:highlight w:val="none"/>
          <w:shd w:fill="auto" w:val="clear"/>
        </w:rPr>
      </w:pPr>
      <w:r>
        <w:rPr>
          <w:rFonts w:ascii="Calibri" w:hAnsi="Calibri"/>
          <w:b w:val="false"/>
          <w:i w:val="false"/>
          <w:caps w:val="false"/>
          <w:smallCaps w:val="false"/>
          <w:color w:val="000000"/>
          <w:spacing w:val="0"/>
          <w:sz w:val="22"/>
          <w:szCs w:val="22"/>
          <w:shd w:fill="auto" w:val="clear"/>
        </w:rPr>
        <w:t>Hybrid retrieval often gives the best coverage across heterogeneous documents.</w:t>
      </w:r>
    </w:p>
    <w:p>
      <w:pPr>
        <w:pStyle w:val="BodyText"/>
        <w:widowControl/>
        <w:numPr>
          <w:ilvl w:val="0"/>
          <w:numId w:val="4"/>
        </w:numPr>
        <w:tabs>
          <w:tab w:val="clear" w:pos="709"/>
          <w:tab w:val="left" w:pos="0" w:leader="none"/>
        </w:tabs>
        <w:bidi w:val="0"/>
        <w:spacing w:lineRule="auto" w:line="250" w:before="0" w:after="140"/>
        <w:ind w:hanging="0" w:left="709"/>
        <w:jc w:val="left"/>
        <w:rPr>
          <w:rFonts w:ascii="Calibri" w:hAnsi="Calibri"/>
          <w:b w:val="false"/>
          <w:i w:val="false"/>
          <w:caps w:val="false"/>
          <w:smallCaps w:val="false"/>
          <w:color w:val="000000"/>
          <w:spacing w:val="0"/>
          <w:sz w:val="22"/>
          <w:szCs w:val="22"/>
          <w:highlight w:val="none"/>
          <w:shd w:fill="auto" w:val="clear"/>
        </w:rPr>
      </w:pPr>
      <w:r>
        <w:rPr>
          <w:rFonts w:ascii="Calibri" w:hAnsi="Calibri"/>
          <w:b w:val="false"/>
          <w:i w:val="false"/>
          <w:caps w:val="false"/>
          <w:smallCaps w:val="false"/>
          <w:color w:val="000000"/>
          <w:spacing w:val="0"/>
          <w:sz w:val="22"/>
          <w:szCs w:val="22"/>
          <w:shd w:fill="auto" w:val="clear"/>
        </w:rPr>
        <w:t>Reranking usually improves ordering and can help the final answer stay more focused.</w:t>
      </w:r>
    </w:p>
    <w:p>
      <w:pPr>
        <w:pStyle w:val="Normal"/>
        <w:bidi w:val="0"/>
        <w:spacing w:lineRule="auto" w:line="250" w:before="0" w:after="80"/>
        <w:jc w:val="left"/>
        <w:rPr>
          <w:rFonts w:ascii="Calibri" w:hAnsi="Calibri"/>
          <w:color w:val="000000"/>
          <w:sz w:val="22"/>
          <w:szCs w:val="22"/>
          <w:highlight w:val="none"/>
          <w:shd w:fill="auto" w:val="clear"/>
        </w:rPr>
      </w:pPr>
      <w:r>
        <w:rPr>
          <w:rFonts w:ascii="Calibri" w:hAnsi="Calibri"/>
          <w:color w:val="000000"/>
          <w:sz w:val="22"/>
          <w:szCs w:val="22"/>
          <w:shd w:fill="auto" w:val="clear"/>
        </w:rPr>
      </w:r>
    </w:p>
    <w:p>
      <w:pPr>
        <w:pStyle w:val="Normal"/>
        <w:bidi w:val="0"/>
        <w:spacing w:lineRule="auto" w:line="250" w:before="0" w:after="80"/>
        <w:jc w:val="left"/>
        <w:rPr>
          <w:rFonts w:ascii="Calibri" w:hAnsi="Calibri"/>
          <w:color w:val="000000"/>
          <w:sz w:val="22"/>
          <w:szCs w:val="22"/>
          <w:highlight w:val="none"/>
          <w:shd w:fill="auto" w:val="clear"/>
        </w:rPr>
      </w:pPr>
      <w:r>
        <w:rPr>
          <w:rFonts w:ascii="Calibri" w:hAnsi="Calibri"/>
          <w:color w:val="000000"/>
          <w:sz w:val="22"/>
          <w:szCs w:val="22"/>
          <w:shd w:fill="auto" w:val="clear"/>
        </w:rPr>
      </w:r>
    </w:p>
    <w:p>
      <w:pPr>
        <w:pStyle w:val="Normal"/>
        <w:bidi w:val="0"/>
        <w:spacing w:lineRule="auto" w:line="250" w:before="0" w:after="80"/>
        <w:jc w:val="left"/>
        <w:rPr>
          <w:rFonts w:ascii="Calibri" w:hAnsi="Calibri"/>
          <w:color w:val="000000"/>
          <w:sz w:val="22"/>
          <w:szCs w:val="22"/>
          <w:highlight w:val="none"/>
          <w:shd w:fill="auto" w:val="clear"/>
        </w:rPr>
      </w:pPr>
      <w:r>
        <w:rPr>
          <w:rFonts w:ascii="Calibri" w:hAnsi="Calibri"/>
          <w:color w:val="000000"/>
          <w:sz w:val="22"/>
          <w:szCs w:val="22"/>
          <w:shd w:fill="auto" w:val="clear"/>
        </w:rPr>
      </w:r>
    </w:p>
    <w:p>
      <w:pPr>
        <w:pStyle w:val="Normal"/>
        <w:bidi w:val="0"/>
        <w:spacing w:lineRule="auto" w:line="250" w:before="0" w:after="80"/>
        <w:jc w:val="left"/>
        <w:rPr>
          <w:rFonts w:ascii="Calibri" w:hAnsi="Calibri"/>
          <w:color w:val="000000"/>
          <w:sz w:val="22"/>
          <w:szCs w:val="22"/>
          <w:highlight w:val="none"/>
          <w:shd w:fill="auto" w:val="clear"/>
        </w:rPr>
      </w:pPr>
      <w:r>
        <w:rPr>
          <w:rFonts w:ascii="Calibri" w:hAnsi="Calibri"/>
          <w:color w:val="000000"/>
          <w:sz w:val="22"/>
          <w:szCs w:val="22"/>
          <w:shd w:fill="auto" w:val="clear"/>
        </w:rPr>
      </w:r>
    </w:p>
    <w:p>
      <w:pPr>
        <w:pStyle w:val="Normal"/>
        <w:bidi w:val="0"/>
        <w:spacing w:lineRule="auto" w:line="250" w:before="0" w:after="80"/>
        <w:jc w:val="left"/>
        <w:rPr>
          <w:rFonts w:ascii="Calibri" w:hAnsi="Calibri"/>
          <w:color w:val="000000"/>
          <w:sz w:val="22"/>
          <w:szCs w:val="22"/>
          <w:highlight w:val="none"/>
          <w:shd w:fill="auto" w:val="clear"/>
        </w:rPr>
      </w:pPr>
      <w:r>
        <w:rPr>
          <w:rFonts w:ascii="Calibri" w:hAnsi="Calibri"/>
          <w:color w:val="000000"/>
          <w:sz w:val="22"/>
          <w:szCs w:val="22"/>
          <w:shd w:fill="auto" w:val="clear"/>
        </w:rPr>
      </w:r>
    </w:p>
    <w:p>
      <w:pPr>
        <w:pStyle w:val="Normal"/>
        <w:bidi w:val="0"/>
        <w:spacing w:lineRule="auto" w:line="250" w:before="0" w:after="80"/>
        <w:jc w:val="left"/>
        <w:rPr>
          <w:rFonts w:ascii="Calibri" w:hAnsi="Calibri"/>
          <w:color w:val="000000"/>
          <w:sz w:val="22"/>
          <w:szCs w:val="22"/>
          <w:highlight w:val="none"/>
          <w:shd w:fill="auto" w:val="clear"/>
        </w:rPr>
      </w:pPr>
      <w:r>
        <w:rPr>
          <w:rFonts w:ascii="Calibri" w:hAnsi="Calibri"/>
          <w:color w:val="000000"/>
          <w:sz w:val="22"/>
          <w:szCs w:val="22"/>
          <w:shd w:fill="auto" w:val="clea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3600" cy="368681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3686810"/>
                    </a:xfrm>
                    <a:prstGeom prst="rect">
                      <a:avLst/>
                    </a:prstGeom>
                    <a:noFill/>
                  </pic:spPr>
                </pic:pic>
              </a:graphicData>
            </a:graphic>
          </wp:anchor>
        </w:drawing>
      </w:r>
    </w:p>
    <w:p>
      <w:pPr>
        <w:pStyle w:val="Normal"/>
        <w:keepNext w:val="true"/>
        <w:bidi w:val="0"/>
        <w:spacing w:lineRule="auto" w:line="281" w:before="320" w:after="100"/>
        <w:jc w:val="left"/>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3600" cy="157670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3600" cy="1576705"/>
                    </a:xfrm>
                    <a:prstGeom prst="rect">
                      <a:avLst/>
                    </a:prstGeom>
                    <a:noFill/>
                  </pic:spPr>
                </pic:pic>
              </a:graphicData>
            </a:graphic>
          </wp:anchor>
        </w:drawing>
      </w:r>
      <w:r>
        <w:rPr>
          <w:b/>
          <w:color w:val="1F4D78"/>
          <w:sz w:val="32"/>
        </w:rPr>
        <w:t xml:space="preserve"> </w:t>
      </w:r>
      <w:r>
        <w:rPr>
          <w:b/>
          <w:color w:val="1F4D78"/>
          <w:sz w:val="32"/>
        </w:rPr>
        <w:t xml:space="preserve">Demo Questions </w:t>
      </w:r>
      <w:r>
        <w:rPr>
          <w:b/>
          <w:color w:val="1F4D78"/>
          <w:sz w:val="32"/>
        </w:rPr>
        <w:t>Used For Benchmarking</w:t>
      </w:r>
    </w:p>
    <w:tbl>
      <w:tblPr>
        <w:tblW w:w="9360" w:type="dxa"/>
        <w:jc w:val="left"/>
        <w:tblInd w:w="120" w:type="dxa"/>
        <w:tblLayout w:type="fixed"/>
        <w:tblCellMar>
          <w:top w:w="80" w:type="dxa"/>
          <w:left w:w="120" w:type="dxa"/>
          <w:bottom w:w="80" w:type="dxa"/>
          <w:right w:w="120" w:type="dxa"/>
        </w:tblCellMar>
      </w:tblPr>
      <w:tblGrid>
        <w:gridCol w:w="1500"/>
        <w:gridCol w:w="7860"/>
      </w:tblGrid>
      <w:tr>
        <w:trPr/>
        <w:tc>
          <w:tcPr>
            <w:tcW w:w="1500" w:type="dxa"/>
            <w:tcBorders>
              <w:top w:val="single" w:sz="6" w:space="0" w:color="D0D7DE"/>
              <w:left w:val="single" w:sz="6" w:space="0" w:color="D0D7DE"/>
              <w:bottom w:val="single" w:sz="6" w:space="0" w:color="D0D7DE"/>
              <w:right w:val="single" w:sz="6" w:space="0" w:color="D0D7DE"/>
            </w:tcBorders>
            <w:shd w:color="auto" w:fill="E8EEF5" w:val="clear"/>
            <w:vAlign w:val="center"/>
          </w:tcPr>
          <w:p>
            <w:pPr>
              <w:pStyle w:val="Normal"/>
              <w:bidi w:val="0"/>
              <w:spacing w:lineRule="auto" w:line="240" w:before="0" w:after="60"/>
              <w:jc w:val="center"/>
              <w:rPr/>
            </w:pPr>
            <w:r>
              <w:rPr>
                <w:b/>
                <w:color w:val="1F1F1F"/>
                <w:sz w:val="21"/>
              </w:rPr>
              <w:t>Demo theme</w:t>
            </w:r>
          </w:p>
        </w:tc>
        <w:tc>
          <w:tcPr>
            <w:tcW w:w="7860" w:type="dxa"/>
            <w:tcBorders>
              <w:top w:val="single" w:sz="6" w:space="0" w:color="D0D7DE"/>
              <w:left w:val="single" w:sz="6" w:space="0" w:color="D0D7DE"/>
              <w:bottom w:val="single" w:sz="6" w:space="0" w:color="D0D7DE"/>
              <w:right w:val="single" w:sz="6" w:space="0" w:color="D0D7DE"/>
            </w:tcBorders>
            <w:shd w:color="auto" w:fill="E8EEF5" w:val="clear"/>
            <w:vAlign w:val="center"/>
          </w:tcPr>
          <w:p>
            <w:pPr>
              <w:pStyle w:val="Normal"/>
              <w:bidi w:val="0"/>
              <w:spacing w:lineRule="auto" w:line="240" w:before="0" w:after="60"/>
              <w:jc w:val="center"/>
              <w:rPr/>
            </w:pPr>
            <w:r>
              <w:rPr>
                <w:b/>
                <w:color w:val="1F1F1F"/>
                <w:sz w:val="21"/>
              </w:rPr>
              <w:t>Question</w:t>
            </w:r>
          </w:p>
        </w:tc>
      </w:tr>
      <w:tr>
        <w:trPr/>
        <w:tc>
          <w:tcPr>
            <w:tcW w:w="1500" w:type="dxa"/>
            <w:tcBorders>
              <w:top w:val="single" w:sz="6" w:space="0" w:color="D0D7DE"/>
              <w:left w:val="single" w:sz="6" w:space="0" w:color="D0D7DE"/>
              <w:bottom w:val="single" w:sz="6" w:space="0" w:color="D0D7DE"/>
              <w:right w:val="single" w:sz="6" w:space="0" w:color="D0D7DE"/>
            </w:tcBorders>
            <w:vAlign w:val="center"/>
          </w:tcPr>
          <w:p>
            <w:pPr>
              <w:pStyle w:val="Normal"/>
              <w:bidi w:val="0"/>
              <w:spacing w:lineRule="auto" w:line="240" w:before="0" w:after="60"/>
              <w:jc w:val="left"/>
              <w:rPr/>
            </w:pPr>
            <w:r>
              <w:rPr>
                <w:color w:val="000000"/>
                <w:sz w:val="21"/>
              </w:rPr>
              <w:t>Liquidity</w:t>
            </w:r>
          </w:p>
        </w:tc>
        <w:tc>
          <w:tcPr>
            <w:tcW w:w="7860" w:type="dxa"/>
            <w:tcBorders>
              <w:top w:val="single" w:sz="6" w:space="0" w:color="D0D7DE"/>
              <w:left w:val="single" w:sz="6" w:space="0" w:color="D0D7DE"/>
              <w:bottom w:val="single" w:sz="6" w:space="0" w:color="D0D7DE"/>
              <w:right w:val="single" w:sz="6" w:space="0" w:color="D0D7DE"/>
            </w:tcBorders>
            <w:vAlign w:val="center"/>
          </w:tcPr>
          <w:p>
            <w:pPr>
              <w:pStyle w:val="Normal"/>
              <w:bidi w:val="0"/>
              <w:spacing w:lineRule="auto" w:line="240" w:before="0" w:after="60"/>
              <w:jc w:val="left"/>
              <w:rPr/>
            </w:pPr>
            <w:r>
              <w:rPr>
                <w:color w:val="000000"/>
                <w:sz w:val="21"/>
              </w:rPr>
              <w:t>What liquidity risks and funding pressure are disclosed across the SEC filings and loan documents?</w:t>
            </w:r>
          </w:p>
        </w:tc>
      </w:tr>
      <w:tr>
        <w:trPr/>
        <w:tc>
          <w:tcPr>
            <w:tcW w:w="1500" w:type="dxa"/>
            <w:tcBorders>
              <w:top w:val="single" w:sz="6" w:space="0" w:color="D0D7DE"/>
              <w:left w:val="single" w:sz="6" w:space="0" w:color="D0D7DE"/>
              <w:bottom w:val="single" w:sz="6" w:space="0" w:color="D0D7DE"/>
              <w:right w:val="single" w:sz="6" w:space="0" w:color="D0D7DE"/>
            </w:tcBorders>
            <w:vAlign w:val="center"/>
          </w:tcPr>
          <w:p>
            <w:pPr>
              <w:pStyle w:val="Normal"/>
              <w:bidi w:val="0"/>
              <w:spacing w:lineRule="auto" w:line="240" w:before="0" w:after="60"/>
              <w:jc w:val="left"/>
              <w:rPr/>
            </w:pPr>
            <w:r>
              <w:rPr>
                <w:color w:val="000000"/>
                <w:sz w:val="21"/>
              </w:rPr>
              <w:t>Margins</w:t>
            </w:r>
          </w:p>
        </w:tc>
        <w:tc>
          <w:tcPr>
            <w:tcW w:w="7860" w:type="dxa"/>
            <w:tcBorders>
              <w:top w:val="single" w:sz="6" w:space="0" w:color="D0D7DE"/>
              <w:left w:val="single" w:sz="6" w:space="0" w:color="D0D7DE"/>
              <w:bottom w:val="single" w:sz="6" w:space="0" w:color="D0D7DE"/>
              <w:right w:val="single" w:sz="6" w:space="0" w:color="D0D7DE"/>
            </w:tcBorders>
            <w:vAlign w:val="center"/>
          </w:tcPr>
          <w:p>
            <w:pPr>
              <w:pStyle w:val="Normal"/>
              <w:bidi w:val="0"/>
              <w:spacing w:lineRule="auto" w:line="240" w:before="0" w:after="60"/>
              <w:jc w:val="left"/>
              <w:rPr/>
            </w:pPr>
            <w:r>
              <w:rPr>
                <w:color w:val="000000"/>
                <w:sz w:val="21"/>
              </w:rPr>
              <w:t>What do the earnings calls say about margin pressure, pricing, and guidance?</w:t>
            </w:r>
          </w:p>
        </w:tc>
      </w:tr>
      <w:tr>
        <w:trPr/>
        <w:tc>
          <w:tcPr>
            <w:tcW w:w="1500" w:type="dxa"/>
            <w:tcBorders>
              <w:top w:val="single" w:sz="6" w:space="0" w:color="D0D7DE"/>
              <w:left w:val="single" w:sz="6" w:space="0" w:color="D0D7DE"/>
              <w:bottom w:val="single" w:sz="6" w:space="0" w:color="D0D7DE"/>
              <w:right w:val="single" w:sz="6" w:space="0" w:color="D0D7DE"/>
            </w:tcBorders>
            <w:vAlign w:val="center"/>
          </w:tcPr>
          <w:p>
            <w:pPr>
              <w:pStyle w:val="Normal"/>
              <w:bidi w:val="0"/>
              <w:spacing w:lineRule="auto" w:line="240" w:before="0" w:after="60"/>
              <w:jc w:val="left"/>
              <w:rPr/>
            </w:pPr>
            <w:r>
              <w:rPr>
                <w:color w:val="000000"/>
                <w:sz w:val="21"/>
              </w:rPr>
              <w:t>Claims</w:t>
            </w:r>
          </w:p>
        </w:tc>
        <w:tc>
          <w:tcPr>
            <w:tcW w:w="7860" w:type="dxa"/>
            <w:tcBorders>
              <w:top w:val="single" w:sz="6" w:space="0" w:color="D0D7DE"/>
              <w:left w:val="single" w:sz="6" w:space="0" w:color="D0D7DE"/>
              <w:bottom w:val="single" w:sz="6" w:space="0" w:color="D0D7DE"/>
              <w:right w:val="single" w:sz="6" w:space="0" w:color="D0D7DE"/>
            </w:tcBorders>
            <w:vAlign w:val="center"/>
          </w:tcPr>
          <w:p>
            <w:pPr>
              <w:pStyle w:val="Normal"/>
              <w:bidi w:val="0"/>
              <w:spacing w:lineRule="auto" w:line="240" w:before="0" w:after="60"/>
              <w:jc w:val="left"/>
              <w:rPr/>
            </w:pPr>
            <w:r>
              <w:rPr>
                <w:color w:val="000000"/>
                <w:sz w:val="21"/>
              </w:rPr>
              <w:t>How are claim reserves, settlement timing, and litigation exposure changing?</w:t>
            </w:r>
          </w:p>
        </w:tc>
      </w:tr>
      <w:tr>
        <w:trPr/>
        <w:tc>
          <w:tcPr>
            <w:tcW w:w="1500" w:type="dxa"/>
            <w:tcBorders>
              <w:top w:val="single" w:sz="6" w:space="0" w:color="D0D7DE"/>
              <w:left w:val="single" w:sz="6" w:space="0" w:color="D0D7DE"/>
              <w:bottom w:val="single" w:sz="6" w:space="0" w:color="D0D7DE"/>
              <w:right w:val="single" w:sz="6" w:space="0" w:color="D0D7DE"/>
            </w:tcBorders>
            <w:vAlign w:val="center"/>
          </w:tcPr>
          <w:p>
            <w:pPr>
              <w:pStyle w:val="Normal"/>
              <w:bidi w:val="0"/>
              <w:spacing w:lineRule="auto" w:line="240" w:before="0" w:after="60"/>
              <w:jc w:val="left"/>
              <w:rPr/>
            </w:pPr>
            <w:r>
              <w:rPr>
                <w:color w:val="000000"/>
                <w:sz w:val="21"/>
              </w:rPr>
              <w:t>Covenants</w:t>
            </w:r>
          </w:p>
        </w:tc>
        <w:tc>
          <w:tcPr>
            <w:tcW w:w="7860" w:type="dxa"/>
            <w:tcBorders>
              <w:top w:val="single" w:sz="6" w:space="0" w:color="D0D7DE"/>
              <w:left w:val="single" w:sz="6" w:space="0" w:color="D0D7DE"/>
              <w:bottom w:val="single" w:sz="6" w:space="0" w:color="D0D7DE"/>
              <w:right w:val="single" w:sz="6" w:space="0" w:color="D0D7DE"/>
            </w:tcBorders>
            <w:vAlign w:val="center"/>
          </w:tcPr>
          <w:p>
            <w:pPr>
              <w:pStyle w:val="Normal"/>
              <w:bidi w:val="0"/>
              <w:spacing w:lineRule="auto" w:line="240" w:before="0" w:after="60"/>
              <w:jc w:val="left"/>
              <w:rPr/>
            </w:pPr>
            <w:r>
              <w:rPr>
                <w:color w:val="000000"/>
                <w:sz w:val="21"/>
              </w:rPr>
              <w:t>What covenant obligations and default triggers should we watch in the loan documents?</w:t>
            </w:r>
          </w:p>
        </w:tc>
      </w:tr>
      <w:tr>
        <w:trPr/>
        <w:tc>
          <w:tcPr>
            <w:tcW w:w="1500" w:type="dxa"/>
            <w:tcBorders>
              <w:top w:val="single" w:sz="6" w:space="0" w:color="D0D7DE"/>
              <w:left w:val="single" w:sz="6" w:space="0" w:color="D0D7DE"/>
              <w:bottom w:val="single" w:sz="6" w:space="0" w:color="D0D7DE"/>
              <w:right w:val="single" w:sz="6" w:space="0" w:color="D0D7DE"/>
            </w:tcBorders>
            <w:vAlign w:val="center"/>
          </w:tcPr>
          <w:p>
            <w:pPr>
              <w:pStyle w:val="Normal"/>
              <w:bidi w:val="0"/>
              <w:spacing w:lineRule="auto" w:line="240" w:before="0" w:after="60"/>
              <w:jc w:val="left"/>
              <w:rPr/>
            </w:pPr>
            <w:r>
              <w:rPr>
                <w:color w:val="000000"/>
                <w:sz w:val="21"/>
              </w:rPr>
              <w:t>Hybrid</w:t>
            </w:r>
          </w:p>
        </w:tc>
        <w:tc>
          <w:tcPr>
            <w:tcW w:w="7860" w:type="dxa"/>
            <w:tcBorders>
              <w:top w:val="single" w:sz="6" w:space="0" w:color="D0D7DE"/>
              <w:left w:val="single" w:sz="6" w:space="0" w:color="D0D7DE"/>
              <w:bottom w:val="single" w:sz="6" w:space="0" w:color="D0D7DE"/>
              <w:right w:val="single" w:sz="6" w:space="0" w:color="D0D7DE"/>
            </w:tcBorders>
            <w:vAlign w:val="center"/>
          </w:tcPr>
          <w:p>
            <w:pPr>
              <w:pStyle w:val="Normal"/>
              <w:bidi w:val="0"/>
              <w:spacing w:lineRule="auto" w:line="240" w:before="0" w:after="60"/>
              <w:jc w:val="left"/>
              <w:rPr/>
            </w:pPr>
            <w:r>
              <w:rPr>
                <w:color w:val="000000"/>
                <w:sz w:val="21"/>
              </w:rPr>
              <w:t>Which documents mention both liquidity pressure and compliance or control remediation?</w:t>
            </w:r>
          </w:p>
        </w:tc>
      </w:tr>
      <w:tr>
        <w:trPr/>
        <w:tc>
          <w:tcPr>
            <w:tcW w:w="1500" w:type="dxa"/>
            <w:tcBorders>
              <w:top w:val="single" w:sz="6" w:space="0" w:color="D0D7DE"/>
              <w:left w:val="single" w:sz="6" w:space="0" w:color="D0D7DE"/>
              <w:bottom w:val="single" w:sz="6" w:space="0" w:color="D0D7DE"/>
              <w:right w:val="single" w:sz="6" w:space="0" w:color="D0D7DE"/>
            </w:tcBorders>
            <w:vAlign w:val="center"/>
          </w:tcPr>
          <w:p>
            <w:pPr>
              <w:pStyle w:val="Normal"/>
              <w:bidi w:val="0"/>
              <w:spacing w:lineRule="auto" w:line="240" w:before="0" w:after="60"/>
              <w:jc w:val="left"/>
              <w:rPr/>
            </w:pPr>
            <w:r>
              <w:rPr>
                <w:color w:val="000000"/>
                <w:sz w:val="21"/>
              </w:rPr>
              <w:t>Exact ID</w:t>
            </w:r>
          </w:p>
        </w:tc>
        <w:tc>
          <w:tcPr>
            <w:tcW w:w="7860" w:type="dxa"/>
            <w:tcBorders>
              <w:top w:val="single" w:sz="6" w:space="0" w:color="D0D7DE"/>
              <w:left w:val="single" w:sz="6" w:space="0" w:color="D0D7DE"/>
              <w:bottom w:val="single" w:sz="6" w:space="0" w:color="D0D7DE"/>
              <w:right w:val="single" w:sz="6" w:space="0" w:color="D0D7DE"/>
            </w:tcBorders>
            <w:vAlign w:val="center"/>
          </w:tcPr>
          <w:p>
            <w:pPr>
              <w:pStyle w:val="Normal"/>
              <w:bidi w:val="0"/>
              <w:spacing w:lineRule="auto" w:line="240" w:before="0" w:after="60"/>
              <w:jc w:val="left"/>
              <w:rPr/>
            </w:pPr>
            <w:r>
              <w:rPr>
                <w:color w:val="000000"/>
                <w:sz w:val="21"/>
              </w:rPr>
              <w:t>What happened with claim CLM-2026-1048?</w:t>
            </w:r>
          </w:p>
        </w:tc>
      </w:tr>
      <w:tr>
        <w:trPr/>
        <w:tc>
          <w:tcPr>
            <w:tcW w:w="1500" w:type="dxa"/>
            <w:tcBorders>
              <w:top w:val="single" w:sz="6" w:space="0" w:color="D0D7DE"/>
              <w:left w:val="single" w:sz="6" w:space="0" w:color="D0D7DE"/>
              <w:bottom w:val="single" w:sz="6" w:space="0" w:color="D0D7DE"/>
              <w:right w:val="single" w:sz="6" w:space="0" w:color="D0D7DE"/>
            </w:tcBorders>
            <w:vAlign w:val="center"/>
          </w:tcPr>
          <w:p>
            <w:pPr>
              <w:pStyle w:val="Normal"/>
              <w:bidi w:val="0"/>
              <w:spacing w:lineRule="auto" w:line="240" w:before="0" w:after="60"/>
              <w:jc w:val="left"/>
              <w:rPr/>
            </w:pPr>
            <w:r>
              <w:rPr>
                <w:color w:val="000000"/>
                <w:sz w:val="21"/>
              </w:rPr>
              <w:t>Exact ID</w:t>
            </w:r>
          </w:p>
        </w:tc>
        <w:tc>
          <w:tcPr>
            <w:tcW w:w="7860" w:type="dxa"/>
            <w:tcBorders>
              <w:top w:val="single" w:sz="6" w:space="0" w:color="D0D7DE"/>
              <w:left w:val="single" w:sz="6" w:space="0" w:color="D0D7DE"/>
              <w:bottom w:val="single" w:sz="6" w:space="0" w:color="D0D7DE"/>
              <w:right w:val="single" w:sz="6" w:space="0" w:color="D0D7DE"/>
            </w:tcBorders>
            <w:vAlign w:val="center"/>
          </w:tcPr>
          <w:p>
            <w:pPr>
              <w:pStyle w:val="Normal"/>
              <w:bidi w:val="0"/>
              <w:spacing w:lineRule="auto" w:line="240" w:before="0" w:after="60"/>
              <w:jc w:val="left"/>
              <w:rPr/>
            </w:pPr>
            <w:r>
              <w:rPr>
                <w:color w:val="000000"/>
                <w:sz w:val="21"/>
              </w:rPr>
              <w:t>What is the status of claim CLM-2026-1057?</w:t>
            </w:r>
          </w:p>
        </w:tc>
      </w:tr>
    </w:tbl>
    <w:p>
      <w:pPr>
        <w:pStyle w:val="Normal"/>
        <w:keepNext w:val="true"/>
        <w:bidi w:val="0"/>
        <w:spacing w:lineRule="auto" w:line="281" w:before="320" w:after="100"/>
        <w:jc w:val="left"/>
        <w:rPr/>
      </w:pPr>
      <w:r>
        <w:rPr>
          <w:b/>
          <w:color w:val="1F4D78"/>
          <w:sz w:val="32"/>
        </w:rPr>
        <w:t>Final reminder of refusal rule</w:t>
      </w:r>
    </w:p>
    <w:tbl>
      <w:tblPr>
        <w:tblW w:w="9360" w:type="dxa"/>
        <w:jc w:val="left"/>
        <w:tblInd w:w="120" w:type="dxa"/>
        <w:tblLayout w:type="fixed"/>
        <w:tblCellMar>
          <w:top w:w="120" w:type="dxa"/>
          <w:left w:w="140" w:type="dxa"/>
          <w:bottom w:w="120" w:type="dxa"/>
          <w:right w:w="140" w:type="dxa"/>
        </w:tblCellMar>
      </w:tblPr>
      <w:tblGrid>
        <w:gridCol w:w="9360"/>
      </w:tblGrid>
      <w:tr>
        <w:trPr/>
        <w:tc>
          <w:tcPr>
            <w:tcW w:w="9360" w:type="dxa"/>
            <w:tcBorders>
              <w:top w:val="single" w:sz="6" w:space="0" w:color="D0D7DE"/>
              <w:left w:val="single" w:sz="6" w:space="0" w:color="D0D7DE"/>
              <w:bottom w:val="single" w:sz="6" w:space="0" w:color="D0D7DE"/>
              <w:right w:val="single" w:sz="6" w:space="0" w:color="D0D7DE"/>
            </w:tcBorders>
            <w:shd w:color="auto" w:fill="F4F6F9" w:val="clear"/>
            <w:vAlign w:val="center"/>
          </w:tcPr>
          <w:p>
            <w:pPr>
              <w:pStyle w:val="Normal"/>
              <w:bidi w:val="0"/>
              <w:spacing w:lineRule="auto" w:line="250" w:before="0" w:after="60"/>
              <w:jc w:val="left"/>
              <w:rPr/>
            </w:pPr>
            <w:r>
              <w:rPr>
                <w:b/>
                <w:color w:val="1F3A5F"/>
                <w:sz w:val="22"/>
              </w:rPr>
              <w:t>The assistant must stay grounded in the provided financial documents. If a question is not supported by the corpus, the answer should refuse briefly rather than inventing details.</w:t>
            </w:r>
          </w:p>
        </w:tc>
      </w:tr>
    </w:tbl>
    <w:sectPr>
      <w:type w:val="nextPage"/>
      <w:pgSz w:w="12240" w:h="15840"/>
      <w:pgMar w:left="1440" w:right="1440" w:gutter="0" w:header="0" w:top="1440" w:footer="0" w:bottom="1440"/>
      <w:pgNumType w:fmt="decimal"/>
      <w:formProt w:val="false"/>
      <w:textDirection w:val="lrTb"/>
      <w:docGrid w:type="default" w:linePitch="36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Calibri">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Lucida Sans"/>
        <w:kern w:val="2"/>
        <w:sz w:val="22"/>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 w:hAnsi="Calibri" w:eastAsia="NSimSun" w:cs="Lucida Sans"/>
      <w:color w:val="auto"/>
      <w:kern w:val="2"/>
      <w:sz w:val="22"/>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LibreOffice/26.2.4.2$Windows_X86_64 LibreOffice_project/0229ac93fcf0d7cbc6376066c6f35021cef002dc</Application>
  <AppVersion>15.0000</AppVersion>
  <Pages>6</Pages>
  <Words>1010</Words>
  <Characters>5713</Characters>
  <CharactersWithSpaces>6621</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2026-06-10T00:00:00Z</dcterms:created>
  <dc:creator>OpenAI Codex</dc:creator>
  <dc:description>Comparison report and reranking impact analysis for the financial RAG app.</dc:description>
  <cp:keywords>RAG benchmark reranking faithfulness</cp:keywords>
  <dc:language>en-US</dc:language>
  <cp:lastModifiedBy/>
  <dcterms:modified xsi:type="dcterms:W3CDTF">2026-06-11T14:41:41Z</dcterms:modified>
  <cp:revision>3</cp:revision>
  <dc:subject>RAG benchmark report</dc:subject>
  <dc:title>Comparison Report and Reranking Impact Analysis</dc:title>
</cp:coreProperties>
</file>