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6E8E"/>
          <w:spacing w:val="30"/>
          <w:sz w:val="20"/>
          <w:szCs w:val="20"/>
        </w:rPr>
        <w:t xml:space="preserve">PROCUREMENT CONSULTING CASE STUDY</w:t>
      </w:r>
    </w:p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Indirect Spend Optimisation &amp; Supplier Rationalisation</w:t>
      </w:r>
    </w:p>
    <w:p>
      <w:pPr>
        <w:spacing w:after="140"/>
      </w:pPr>
      <w:r>
        <w:rPr>
          <w:i/>
          <w:iCs/>
          <w:color w:val="555555"/>
          <w:sz w:val="22"/>
          <w:szCs w:val="22"/>
        </w:rPr>
        <w:t xml:space="preserve">A €92.5M indirect spend diagnostic for a European logistics-tech scale-up</w:t>
      </w:r>
    </w:p>
    <w:p>
      <w:pPr>
        <w:pBdr>
          <w:bottom w:val="single" w:color="C9D6E0" w:sz="6"/>
        </w:pBdr>
        <w:spacing w:after="120"/>
      </w:pPr>
      <w:r>
        <w:rPr>
          <w:sz w:val="2"/>
          <w:szCs w:val="2"/>
        </w:rPr>
        <w:t xml:space="preserve"/>
      </w:r>
    </w:p>
    <w:p>
      <w:pPr>
        <w:spacing w:after="30"/>
      </w:pPr>
      <w:r>
        <w:rPr>
          <w:b/>
          <w:bCs/>
          <w:color w:val="555555"/>
          <w:sz w:val="19"/>
          <w:szCs w:val="19"/>
        </w:rPr>
        <w:t xml:space="preserve">Prepared by  </w:t>
      </w:r>
      <w:r>
        <w:rPr>
          <w:color w:val="222222"/>
          <w:sz w:val="19"/>
          <w:szCs w:val="19"/>
        </w:rPr>
        <w:t xml:space="preserve">Shruti Morab</w:t>
      </w:r>
      <w:r>
        <w:rPr>
          <w:color w:val="555555"/>
          <w:sz w:val="19"/>
          <w:szCs w:val="19"/>
        </w:rPr>
        <w:t xml:space="preserve">   ·   Procurement &amp; Strategic Sourcing</w:t>
      </w:r>
    </w:p>
    <w:p>
      <w:pPr>
        <w:spacing w:after="30"/>
      </w:pPr>
      <w:r>
        <w:rPr>
          <w:b/>
          <w:bCs/>
          <w:color w:val="555555"/>
          <w:sz w:val="19"/>
          <w:szCs w:val="19"/>
        </w:rPr>
        <w:t xml:space="preserve">Client  </w:t>
      </w:r>
      <w:r>
        <w:rPr>
          <w:color w:val="222222"/>
          <w:sz w:val="19"/>
          <w:szCs w:val="19"/>
        </w:rPr>
        <w:t xml:space="preserve">European logistics-tech scale-up (client anonymised) </w:t>
      </w:r>
      <w:r>
        <w:rPr>
          <w:color w:val="555555"/>
          <w:sz w:val="19"/>
          <w:szCs w:val="19"/>
        </w:rPr>
        <w:t xml:space="preserve">  ·   Engagement: indirect procurement review</w:t>
      </w:r>
    </w:p>
    <w:p>
      <w:pPr>
        <w:spacing w:after="160"/>
      </w:pPr>
      <w:r>
        <w:rPr>
          <w:b/>
          <w:bCs/>
          <w:color w:val="555555"/>
          <w:sz w:val="19"/>
          <w:szCs w:val="19"/>
        </w:rPr>
        <w:t xml:space="preserve">Data  </w:t>
      </w:r>
      <w:r>
        <w:rPr>
          <w:color w:val="222222"/>
          <w:sz w:val="19"/>
          <w:szCs w:val="19"/>
        </w:rPr>
        <w:t xml:space="preserve">Synthetic — 13,199 PO lines, 109 suppliers, 10 categories, 24 months (Jul 2024–Jun 2026)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Executive summary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 fast-growing European logistics-tech scale-up asked us to review €92.5M of indirect spend and answer a simple question: where is the money leaking, and what should we do first? Rapid growth had left indirect procurement fragmented — no central category ownership, spend spread across 109 suppliers, and rising off-contract purchasing. This review turns two years of purchase-order data into a prioritised sourcing agenda and a 90-day plan.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headline: we identified a </w:t>
      </w:r>
      <w:r>
        <w:rPr>
          <w:b/>
          <w:bCs/>
          <w:color w:val="222222"/>
          <w:sz w:val="21"/>
          <w:szCs w:val="21"/>
        </w:rPr>
        <w:t xml:space="preserve">realistic annual savings opportunity of roughly €1.3–1.9M</w:t>
      </w:r>
      <w:r>
        <w:rPr>
          <w:color w:val="222222"/>
          <w:sz w:val="21"/>
          <w:szCs w:val="21"/>
        </w:rPr>
        <w:t xml:space="preserve"> — against a theoretical ceiling closer to €4M. The gap between the two matters. The ceiling assumes every item is repriced to its best-ever price and every off-contract euro is recovered; the realistic figure applies category-level capture rates that reflect how sourcing actually lands. We recommend chasing the realistic number in three sequenced waves, and de-risking a supplier base where a single vendor now carries 16% of total spend.</w:t>
      </w:r>
    </w:p>
    <w:tbl>
      <w:tblPr>
        <w:tblW w:type="dxa" w:w="9026"/>
        <w:tblBorders>
          <w:top w:val="none"/>
          <w:left w:val="single" w:color="2E6E8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7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Bottom line.  </w:t>
            </w:r>
            <w:r>
              <w:rPr>
                <w:color w:val="222222"/>
                <w:sz w:val="20"/>
                <w:szCs w:val="20"/>
              </w:rPr>
              <w:t xml:space="preserve">The biggest prize is not the category with the worst price discipline (IT Hardware) — it is the two largest categories, Professional Services and Marketing, where even a modest price spread applies to a very large base. Sequence the work by euros at stake, not by percentage spread.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1.  Situation &amp; mandate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client has scaled headcount and geography quickly over three years. Indirect procurement did not keep pace: category ownership is thin, buying is decentralised across four business units, and contract coverage is patchy. Ahead of the next funding round, leadership wants two things — demonstrable savings, and a supply base that no longer carries concentration risk.</w:t>
      </w:r>
    </w:p>
    <w:p>
      <w:pPr>
        <w:pStyle w:val="Heading2"/>
        <w:spacing w:after="100" w:before="220"/>
      </w:pPr>
      <w:r>
        <w:rPr>
          <w:b/>
          <w:bCs/>
          <w:color w:val="2E6E8E"/>
          <w:sz w:val="24"/>
          <w:szCs w:val="24"/>
        </w:rPr>
        <w:t xml:space="preserve">The four questions we were asked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1"/>
          <w:szCs w:val="21"/>
        </w:rPr>
        <w:t xml:space="preserve">Where is our indirect spend concentrated, and where is it fragmenting?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1"/>
          <w:szCs w:val="21"/>
        </w:rPr>
        <w:t xml:space="preserve">How much spend bypasses our contracts, and what is it costing us?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1"/>
          <w:szCs w:val="21"/>
        </w:rPr>
        <w:t xml:space="preserve">Which categories and suppliers are the priority savings opportunities?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1"/>
          <w:szCs w:val="21"/>
        </w:rPr>
        <w:t xml:space="preserve">What should we do first — over the next 90 days?</w:t>
      </w:r>
    </w:p>
    <w:p>
      <w:pPr>
        <w:spacing w:after="140" w:line="276"/>
      </w:pPr>
      <w:r>
        <w:rPr>
          <w:i/>
          <w:iCs/>
          <w:color w:val="555555"/>
          <w:sz w:val="21"/>
          <w:szCs w:val="21"/>
        </w:rPr>
        <w:t xml:space="preserve">Every finding and recommendation in this report traces back to one of these four questions.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2.  Approach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We followed a standard analytics workflow — Ask, Prepare, Process, Analyse, Share, Act — applied to the client's line-item purchase-order data. The data model is a classic spend cube: who bought (business units), what (categories and items), from whom (suppliers), and the transactions themselves, with a contracts table that lets us flag any spend placed off-contract.</w:t>
      </w:r>
    </w:p>
    <w:tbl>
      <w:tblPr>
        <w:tblW w:type="dxa" w:w="9026"/>
        <w:tblBorders>
          <w:top w:val="single" w:color="C9D6E0" w:sz="4"/>
          <w:left w:val="none"/>
          <w:bottom w:val="single" w:color="C9D6E0" w:sz="4"/>
          <w:right w:val="none"/>
          <w:insideH w:val="single" w:color="C9D6E0" w:sz="2"/>
          <w:insideV w:val="none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626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Ask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Framed the four mandate questions as testable hypotheses.</w:t>
            </w:r>
          </w:p>
        </w:tc>
      </w:tr>
      <w:tr>
        <w:tc>
          <w:tcPr>
            <w:tcW w:type="dxa" w:w="24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Prepare</w:t>
            </w:r>
          </w:p>
        </w:tc>
        <w:tc>
          <w:tcPr>
            <w:tcW w:type="dxa" w:w="6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Validated the data: no orphan suppliers, no negative quantities or prices, no category mismatches.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Process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Segmented spend by category, business unit, supplier and month; flagged on- vs off-contract lines.</w:t>
            </w:r>
          </w:p>
        </w:tc>
      </w:tr>
      <w:tr>
        <w:tc>
          <w:tcPr>
            <w:tcW w:type="dxa" w:w="24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Analyse</w:t>
            </w:r>
          </w:p>
        </w:tc>
        <w:tc>
          <w:tcPr>
            <w:tcW w:type="dxa" w:w="6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Ran Pareto/ABC concentration, price-variance, maverick-spend and tail-consolidation analyses in SQL.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Share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Translated findings into this report and an executive deck for a non-technical audience.</w:t>
            </w:r>
          </w:p>
        </w:tc>
      </w:tr>
      <w:tr>
        <w:tc>
          <w:tcPr>
            <w:tcW w:type="dxa" w:w="24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Act</w:t>
            </w:r>
          </w:p>
        </w:tc>
        <w:tc>
          <w:tcPr>
            <w:tcW w:type="dxa" w:w="6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Built a prioritised, capture-rate-adjusted savings bridge and a phased 90-day roadmap.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3.  Diagnostic findings</w:t>
      </w:r>
    </w:p>
    <w:p>
      <w:pPr>
        <w:pStyle w:val="Heading2"/>
        <w:spacing w:after="100" w:before="220"/>
      </w:pPr>
      <w:r>
        <w:rPr>
          <w:b/>
          <w:bCs/>
          <w:color w:val="2E6E8E"/>
          <w:sz w:val="24"/>
          <w:szCs w:val="24"/>
        </w:rPr>
        <w:t xml:space="preserve">3.1  Where the money goes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Spend is heavily weighted to a few categories. Marketing Services (27%), Professional Services (22%) and Facilities (14%) together account for almost two-thirds of the €92.5M base. A recurring October spike — roughly €5.0M versus a €3.4M baseline month — points to year-end budget-flush behaviour worth governance attention.</w:t>
      </w:r>
    </w:p>
    <w:tbl>
      <w:tblPr>
        <w:tblW w:type="dxa" w:w="9026"/>
        <w:tblBorders>
          <w:top w:val="single" w:color="C9D6E0" w:sz="4"/>
          <w:left w:val="none"/>
          <w:bottom w:val="single" w:color="C9D6E0" w:sz="4"/>
          <w:right w:val="none"/>
          <w:insideH w:val="single" w:color="C9D6E0" w:sz="2"/>
          <w:insideV w:val="none"/>
        </w:tblBorders>
      </w:tblPr>
      <w:tblGrid>
        <w:gridCol w:w="3626"/>
        <w:gridCol w:w="2700"/>
        <w:gridCol w:w="2700"/>
      </w:tblGrid>
      <w:tr>
        <w:trPr>
          <w:tblHeader/>
        </w:trPr>
        <w:tc>
          <w:tcPr>
            <w:tcW w:type="dxa" w:w="3626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Spend (€M)</w:t>
            </w:r>
          </w:p>
        </w:tc>
        <w:tc>
          <w:tcPr>
            <w:tcW w:type="dxa" w:w="2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Marketing Services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24.95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27.0%</w:t>
            </w:r>
          </w:p>
        </w:tc>
      </w:tr>
      <w:tr>
        <w:tc>
          <w:tcPr>
            <w:tcW w:type="dxa" w:w="3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Professional Services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19.94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21.6%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Facilities Services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13.38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14.5%</w:t>
            </w:r>
          </w:p>
        </w:tc>
      </w:tr>
      <w:tr>
        <w:tc>
          <w:tcPr>
            <w:tcW w:type="dxa" w:w="3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Logistics Services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9.52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10.3%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IT Hardware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6.55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7.1%</w:t>
            </w:r>
          </w:p>
        </w:tc>
      </w:tr>
      <w:tr>
        <w:tc>
          <w:tcPr>
            <w:tcW w:type="dxa" w:w="3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Software &amp; SaaS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6.35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6.9%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All other (4 categories)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11.81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12.6%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6E8E"/>
          <w:sz w:val="24"/>
          <w:szCs w:val="24"/>
        </w:rPr>
        <w:t xml:space="preserve">3.2  Supplier concentration cuts both ways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Just </w:t>
      </w:r>
      <w:r>
        <w:rPr>
          <w:b/>
          <w:bCs/>
          <w:color w:val="222222"/>
          <w:sz w:val="21"/>
          <w:szCs w:val="21"/>
        </w:rPr>
        <w:t xml:space="preserve">14 suppliers — 13% of a 109-supplier base — carry 80% of spend</w:t>
      </w:r>
      <w:r>
        <w:rPr>
          <w:color w:val="222222"/>
          <w:sz w:val="21"/>
          <w:szCs w:val="21"/>
        </w:rPr>
        <w:t xml:space="preserve">. That concentration is leverage at the negotiating table, but it is also risk: the single largest supplier alone represents 16% of total spend. An ABC view makes the tail visible — 61 C-suppliers share less than €5M between them, each one carrying fixed onboarding, compliance and payment overhead.</w:t>
      </w:r>
    </w:p>
    <w:tbl>
      <w:tblPr>
        <w:tblW w:type="dxa" w:w="9026"/>
        <w:tblBorders>
          <w:top w:val="single" w:color="C9D6E0" w:sz="4"/>
          <w:left w:val="none"/>
          <w:bottom w:val="single" w:color="C9D6E0" w:sz="4"/>
          <w:right w:val="none"/>
          <w:insideH w:val="single" w:color="C9D6E0" w:sz="2"/>
          <w:insideV w:val="none"/>
        </w:tblBorders>
      </w:tblPr>
      <w:tblGrid>
        <w:gridCol w:w="3626"/>
        <w:gridCol w:w="1900"/>
        <w:gridCol w:w="1800"/>
        <w:gridCol w:w="1700"/>
      </w:tblGrid>
      <w:tr>
        <w:trPr>
          <w:tblHeader/>
        </w:trPr>
        <w:tc>
          <w:tcPr>
            <w:tcW w:type="dxa" w:w="3626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ABC class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Suppliers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Spend (€M)</w:t>
            </w:r>
          </w:p>
        </w:tc>
        <w:tc>
          <w:tcPr>
            <w:tcW w:type="dxa" w:w="1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base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A — top 80% of spend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72.86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12.8%</w:t>
            </w:r>
          </w:p>
        </w:tc>
      </w:tr>
      <w:tr>
        <w:tc>
          <w:tcPr>
            <w:tcW w:type="dxa" w:w="3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B — next 15%</w:t>
            </w:r>
          </w:p>
        </w:tc>
        <w:tc>
          <w:tcPr>
            <w:tcW w:type="dxa" w:w="19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34</w:t>
            </w:r>
          </w:p>
        </w:tc>
        <w:tc>
          <w:tcPr>
            <w:tcW w:type="dxa" w:w="18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14.85</w:t>
            </w:r>
          </w:p>
        </w:tc>
        <w:tc>
          <w:tcPr>
            <w:tcW w:type="dxa" w:w="1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31.2%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C — tail 5%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61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4.79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56.0%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6E8E"/>
          <w:sz w:val="24"/>
          <w:szCs w:val="24"/>
        </w:rPr>
        <w:t xml:space="preserve">3.3  Price variance is the biggest prize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same catalogue items are bought at very different unit prices across business units and suppliers. Repricing all volume to each item's best observed price would free </w:t>
      </w:r>
      <w:r>
        <w:rPr>
          <w:b/>
          <w:bCs/>
          <w:color w:val="222222"/>
          <w:sz w:val="21"/>
          <w:szCs w:val="21"/>
        </w:rPr>
        <w:t xml:space="preserve">€5.68M (6.1% of spend)</w:t>
      </w:r>
      <w:r>
        <w:rPr>
          <w:color w:val="222222"/>
          <w:sz w:val="21"/>
          <w:szCs w:val="21"/>
        </w:rPr>
        <w:t xml:space="preserve"> in theory. IT Hardware shows the worst discipline by percentage — spreads of 33–37% between the best and worst price paid for identical items — but in absolute euros the exposure sits in the large categories:</w:t>
      </w:r>
    </w:p>
    <w:tbl>
      <w:tblPr>
        <w:tblW w:type="dxa" w:w="9026"/>
        <w:tblBorders>
          <w:top w:val="single" w:color="C9D6E0" w:sz="4"/>
          <w:left w:val="none"/>
          <w:bottom w:val="single" w:color="C9D6E0" w:sz="4"/>
          <w:right w:val="none"/>
          <w:insideH w:val="single" w:color="C9D6E0" w:sz="2"/>
          <w:insideV w:val="none"/>
        </w:tblBorders>
      </w:tblPr>
      <w:tblGrid>
        <w:gridCol w:w="3626"/>
        <w:gridCol w:w="2700"/>
        <w:gridCol w:w="2700"/>
      </w:tblGrid>
      <w:tr>
        <w:trPr>
          <w:tblHeader/>
        </w:trPr>
        <w:tc>
          <w:tcPr>
            <w:tcW w:type="dxa" w:w="3626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Variance (€M)</w:t>
            </w:r>
          </w:p>
        </w:tc>
        <w:tc>
          <w:tcPr>
            <w:tcW w:type="dxa" w:w="2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cat. spend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Professional Services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1.49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7.5%</w:t>
            </w:r>
          </w:p>
        </w:tc>
      </w:tr>
      <w:tr>
        <w:tc>
          <w:tcPr>
            <w:tcW w:type="dxa" w:w="3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Marketing Services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1.29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5.2%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Logistics Services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0.72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7.6%</w:t>
            </w:r>
          </w:p>
        </w:tc>
      </w:tr>
      <w:tr>
        <w:tc>
          <w:tcPr>
            <w:tcW w:type="dxa" w:w="3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Facilities Services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0.54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4.1%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IT Hardware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0.52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7.9%</w:t>
            </w:r>
          </w:p>
        </w:tc>
      </w:tr>
    </w:tbl>
    <w:tbl>
      <w:tblPr>
        <w:tblW w:type="dxa" w:w="9026"/>
        <w:tblBorders>
          <w:top w:val="none"/>
          <w:left w:val="single" w:color="2E6E8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3F7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Consultant's read.  </w:t>
            </w:r>
            <w:r>
              <w:rPr>
                <w:color w:val="222222"/>
                <w:sz w:val="20"/>
                <w:szCs w:val="20"/>
              </w:rPr>
              <w:t xml:space="preserve">Percentage spread tells you where discipline is worst; absolute euros tell you where to start. Professional Services and Marketing carry three times the recoverable value of IT Hardware despite lower percentage spreads. This reorders the sourcing agenda.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6E8E"/>
          <w:sz w:val="24"/>
          <w:szCs w:val="24"/>
        </w:rPr>
        <w:t xml:space="preserve">3.4  Maverick spend is a process problem with a name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16.5% of network spend — €15.2M over the period — is placed off-contract. It is not evenly spread: </w:t>
      </w:r>
      <w:r>
        <w:rPr>
          <w:b/>
          <w:bCs/>
          <w:color w:val="222222"/>
          <w:sz w:val="21"/>
          <w:szCs w:val="21"/>
        </w:rPr>
        <w:t xml:space="preserve">Operations South runs at 23.7% off-contract versus 11.8% at Central Functions</w:t>
      </w:r>
      <w:r>
        <w:rPr>
          <w:color w:val="222222"/>
          <w:sz w:val="21"/>
          <w:szCs w:val="21"/>
        </w:rPr>
        <w:t xml:space="preserve">. Off-contract lines carry an 8.4% average price premium over on-contract prices for identical items, which annualises to roughly €1.2M of leakage. The fix is process, not negotiation — catalogue coverage, approval workflows and business-unit compliance reporting.</w:t>
      </w:r>
    </w:p>
    <w:tbl>
      <w:tblPr>
        <w:tblW w:type="dxa" w:w="9026"/>
        <w:tblBorders>
          <w:top w:val="single" w:color="C9D6E0" w:sz="4"/>
          <w:left w:val="none"/>
          <w:bottom w:val="single" w:color="C9D6E0" w:sz="4"/>
          <w:right w:val="none"/>
          <w:insideH w:val="single" w:color="C9D6E0" w:sz="2"/>
          <w:insideV w:val="none"/>
        </w:tblBorders>
      </w:tblPr>
      <w:tblGrid>
        <w:gridCol w:w="3626"/>
        <w:gridCol w:w="2700"/>
        <w:gridCol w:w="2700"/>
      </w:tblGrid>
      <w:tr>
        <w:trPr>
          <w:tblHeader/>
        </w:trPr>
        <w:tc>
          <w:tcPr>
            <w:tcW w:type="dxa" w:w="3626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Business unit</w:t>
            </w:r>
          </w:p>
        </w:tc>
        <w:tc>
          <w:tcPr>
            <w:tcW w:type="dxa" w:w="2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Spend (€M)</w:t>
            </w:r>
          </w:p>
        </w:tc>
        <w:tc>
          <w:tcPr>
            <w:tcW w:type="dxa" w:w="2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Maverick %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Operations South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24.48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23.7%</w:t>
            </w:r>
          </w:p>
        </w:tc>
      </w:tr>
      <w:tr>
        <w:tc>
          <w:tcPr>
            <w:tcW w:type="dxa" w:w="3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Digital &amp; Tech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17.61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16.6%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Operations North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22.23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14.3%</w:t>
            </w:r>
          </w:p>
        </w:tc>
      </w:tr>
      <w:tr>
        <w:tc>
          <w:tcPr>
            <w:tcW w:type="dxa" w:w="36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Central Functions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28.18</w:t>
            </w:r>
          </w:p>
        </w:tc>
        <w:tc>
          <w:tcPr>
            <w:tcW w:type="dxa" w:w="27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11.8%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6E8E"/>
          <w:sz w:val="24"/>
          <w:szCs w:val="24"/>
        </w:rPr>
        <w:t xml:space="preserve">3.5  The supplier tail is real but modest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Fragmentation concentrates in a few low-value categories: MRO &amp; Maintenance carries 16 sub-€100k suppliers (€534k of scattered spend) and Office Supplies 14. Consolidating these is worthwhile housekeeping — roughly €44k a year — but it is a quick win to be sequenced after the price-variance and maverick fixes, not a headline.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4.  The savings bridge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Theoretical ceilings overstate what sourcing actually captures. We scoped each lever to where the euros are, then applied realistic capture rates. Figures below are annual run-rate (the dataset spans two years, so 24-month totals are halved).</w:t>
      </w:r>
    </w:p>
    <w:tbl>
      <w:tblPr>
        <w:tblW w:type="dxa" w:w="9026"/>
        <w:tblBorders>
          <w:top w:val="single" w:color="C9D6E0" w:sz="4"/>
          <w:left w:val="none"/>
          <w:bottom w:val="single" w:color="C9D6E0" w:sz="4"/>
          <w:right w:val="none"/>
          <w:insideH w:val="single" w:color="C9D6E0" w:sz="2"/>
          <w:insideV w:val="none"/>
        </w:tblBorders>
      </w:tblPr>
      <w:tblGrid>
        <w:gridCol w:w="2900"/>
        <w:gridCol w:w="2000"/>
        <w:gridCol w:w="2000"/>
        <w:gridCol w:w="2126"/>
      </w:tblGrid>
      <w:tr>
        <w:trPr>
          <w:tblHeader/>
        </w:trPr>
        <w:tc>
          <w:tcPr>
            <w:tcW w:type="dxa" w:w="29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Lever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Identified /yr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Capture</w:t>
            </w:r>
          </w:p>
        </w:tc>
        <w:tc>
          <w:tcPr>
            <w:tcW w:type="dxa" w:w="2126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Realistic /yr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Framework agreements &amp; catalogue enforcement (top-5 categories)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€2.28M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30–50%</w:t>
            </w:r>
          </w:p>
        </w:tc>
        <w:tc>
          <w:tcPr>
            <w:tcW w:type="dxa" w:w="21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€0.7–1.1M</w:t>
            </w:r>
          </w:p>
        </w:tc>
      </w:tr>
      <w:tr>
        <w:tc>
          <w:tcPr>
            <w:tcW w:type="dxa" w:w="29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Maverick-spend compliance programme (Operations South first)</w:t>
            </w:r>
          </w:p>
        </w:tc>
        <w:tc>
          <w:tcPr>
            <w:tcW w:type="dxa" w:w="20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€1.2M</w:t>
            </w:r>
          </w:p>
        </w:tc>
        <w:tc>
          <w:tcPr>
            <w:tcW w:type="dxa" w:w="20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50–60%</w:t>
            </w:r>
          </w:p>
        </w:tc>
        <w:tc>
          <w:tcPr>
            <w:tcW w:type="dxa" w:w="21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€0.6–0.7M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Tail consolidation (MRO, Office Supplies, Packaging)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€0.09M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~50%</w:t>
            </w:r>
          </w:p>
        </w:tc>
        <w:tc>
          <w:tcPr>
            <w:tcW w:type="dxa" w:w="21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color w:val="222222"/>
                <w:sz w:val="19"/>
                <w:szCs w:val="19"/>
              </w:rPr>
              <w:t xml:space="preserve">€0.04M</w:t>
            </w:r>
          </w:p>
        </w:tc>
      </w:tr>
      <w:tr>
        <w:tc>
          <w:tcPr>
            <w:tcW w:type="dxa" w:w="2900"/>
            <w:shd w:fill="DD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Total realistic annual opportunity</w:t>
            </w:r>
          </w:p>
        </w:tc>
        <w:tc>
          <w:tcPr>
            <w:tcW w:type="dxa" w:w="2000"/>
            <w:shd w:fill="DD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≈ €4.0M ceiling</w:t>
            </w:r>
          </w:p>
        </w:tc>
        <w:tc>
          <w:tcPr>
            <w:tcW w:type="dxa" w:w="2000"/>
            <w:shd w:fill="DD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126"/>
            <w:shd w:fill="DD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€1.3–1.9M</w:t>
            </w:r>
          </w:p>
        </w:tc>
      </w:tr>
    </w:tbl>
    <w:p>
      <w:pPr>
        <w:spacing w:after="140" w:line="276"/>
      </w:pPr>
      <w:r>
        <w:rPr>
          <w:i/>
          <w:iCs/>
          <w:color w:val="555555"/>
          <w:sz w:val="21"/>
          <w:szCs w:val="21"/>
        </w:rPr>
        <w:t xml:space="preserve">Capture rates are assumptions, stated on purpose. They reflect that no programme reprices every line to the best-ever price or recovers every off-contract euro; they can be tightened as category owners validate the scope.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5.  Recommendations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Three sourcing moves and one risk move, in order of value and readiness:</w:t>
      </w:r>
    </w:p>
    <w:p>
      <w:pPr>
        <w:pStyle w:val="Heading2"/>
        <w:spacing w:after="100" w:before="220"/>
      </w:pPr>
      <w:r>
        <w:rPr>
          <w:b/>
          <w:bCs/>
          <w:color w:val="2E6E8E"/>
          <w:sz w:val="24"/>
          <w:szCs w:val="24"/>
        </w:rPr>
        <w:t xml:space="preserve">Priority 1 — Framework agreements + catalogue enforcement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Put framework agreements and enforced catalogues behind the two largest categories first — Professional Services and Marketing — then IT Hardware, where the percentage spread is worst. This removes the price variance at source rather than chasing it line by line.</w:t>
      </w:r>
    </w:p>
    <w:p>
      <w:pPr>
        <w:pStyle w:val="Heading2"/>
        <w:spacing w:after="100" w:before="220"/>
      </w:pPr>
      <w:r>
        <w:rPr>
          <w:b/>
          <w:bCs/>
          <w:color w:val="2E6E8E"/>
          <w:sz w:val="24"/>
          <w:szCs w:val="24"/>
        </w:rPr>
        <w:t xml:space="preserve">Priority 2 — Maverick-spend compliance programme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Stand up a compliance programme targeting Operations South: expand catalogue coverage, route spend through approval workflows, and publish maverick-percentage scorecards per business unit. This is a governance fix that pays back quickly because it needs no new negotiation.</w:t>
      </w:r>
    </w:p>
    <w:p>
      <w:pPr>
        <w:pStyle w:val="Heading2"/>
        <w:spacing w:after="100" w:before="220"/>
      </w:pPr>
      <w:r>
        <w:rPr>
          <w:b/>
          <w:bCs/>
          <w:color w:val="2E6E8E"/>
          <w:sz w:val="24"/>
          <w:szCs w:val="24"/>
        </w:rPr>
        <w:t xml:space="preserve">Priority 3 — Tail consolidation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Consolidate the sub-€100k tail in MRO, Office Supplies and Packaging onto preferred suppliers. Modest savings, but it also cuts onboarding and compliance overhead and is an easy early proof point.</w:t>
      </w:r>
    </w:p>
    <w:p>
      <w:pPr>
        <w:pStyle w:val="Heading2"/>
        <w:spacing w:after="100" w:before="220"/>
      </w:pPr>
      <w:r>
        <w:rPr>
          <w:b/>
          <w:bCs/>
          <w:color w:val="2E6E8E"/>
          <w:sz w:val="24"/>
          <w:szCs w:val="24"/>
        </w:rPr>
        <w:t xml:space="preserve">Risk move — De-risk the top of the base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With one supplier at 16% and 14 suppliers at 80% of spend, agree dual-source or contingency arrangements for the top three vendors and build a contract-expiry pipeline. This directly addresses the funding-round readiness the client asked for.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6.  90-day roadmap</w:t>
      </w:r>
    </w:p>
    <w:tbl>
      <w:tblPr>
        <w:tblW w:type="dxa" w:w="9026"/>
        <w:tblBorders>
          <w:top w:val="single" w:color="C9D6E0" w:sz="4"/>
          <w:left w:val="none"/>
          <w:bottom w:val="single" w:color="C9D6E0" w:sz="4"/>
          <w:right w:val="none"/>
          <w:insideH w:val="single" w:color="C9D6E0" w:sz="2"/>
          <w:insideV w:val="none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826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Days 0–30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Mobilise &amp; quick wins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Validate findings with category owners; consolidate Office Supplies / MRO tail; stand up the spend dashboard as a monthly cadence.</w:t>
            </w:r>
          </w:p>
        </w:tc>
      </w:tr>
      <w:tr>
        <w:tc>
          <w:tcPr>
            <w:tcW w:type="dxa" w:w="20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Days 30–60</w:t>
            </w:r>
          </w:p>
        </w:tc>
        <w:tc>
          <w:tcPr>
            <w:tcW w:type="dxa" w:w="32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Compliance &amp; catalogue</w:t>
            </w:r>
          </w:p>
        </w:tc>
        <w:tc>
          <w:tcPr>
            <w:tcW w:type="dxa" w:w="38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Launch the maverick programme in Operations South: catalogue coverage, approval workflow, BU compliance scorecards.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Days 60–90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Sourcing waves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Open framework-agreement tenders in Professional Services and IT Hardware; agree dual-source plan for the top-3 suppliers.</w:t>
            </w:r>
          </w:p>
        </w:tc>
      </w:tr>
      <w:tr>
        <w:tc>
          <w:tcPr>
            <w:tcW w:type="dxa" w:w="20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Beyond 90</w:t>
            </w:r>
          </w:p>
        </w:tc>
        <w:tc>
          <w:tcPr>
            <w:tcW w:type="dxa" w:w="3200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Scale &amp; sustain</w:t>
            </w:r>
          </w:p>
        </w:tc>
        <w:tc>
          <w:tcPr>
            <w:tcW w:type="dxa" w:w="3826"/>
            <w:shd w:fill="EEF3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color w:val="222222"/>
                <w:sz w:val="19"/>
                <w:szCs w:val="19"/>
              </w:rPr>
              <w:t xml:space="preserve">Roll frameworks across Marketing, Facilities and Logistics; build a contract-expiry pipeline; run quarterly reviews with A-suppliers.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7.  Risks, assumptions &amp; limitations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1"/>
          <w:szCs w:val="21"/>
        </w:rPr>
        <w:t xml:space="preserve">Savings estimates are </w:t>
      </w:r>
      <w:r>
        <w:rPr>
          <w:b/>
          <w:bCs/>
          <w:color w:val="222222"/>
          <w:sz w:val="21"/>
          <w:szCs w:val="21"/>
        </w:rPr>
        <w:t xml:space="preserve">modelled</w:t>
      </w:r>
      <w:r>
        <w:rPr>
          <w:color w:val="222222"/>
          <w:sz w:val="21"/>
          <w:szCs w:val="21"/>
        </w:rPr>
        <w:t xml:space="preserve">, using rule-of-thumb capture rates; they are directional and should be firmed up with category owners before targets are set.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1"/>
          <w:szCs w:val="21"/>
        </w:rPr>
        <w:t xml:space="preserve">The dataset is synthetic and simplifies reality — no payment terms, currencies, credit notes or supplier parent/child hierarchies.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1"/>
          <w:szCs w:val="21"/>
        </w:rPr>
        <w:t xml:space="preserve">Price-variance analysis assumes items are genuinely comparable; some spread may reflect specification or service-level differences rather than pure price.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1"/>
          <w:szCs w:val="21"/>
        </w:rPr>
        <w:t xml:space="preserve">The theoretical ceiling (best-ever price on every line) is a benchmark, not a target — it will not be captured in full.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Appendix — Data &amp; method</w:t>
      </w:r>
    </w:p>
    <w:p>
      <w:pPr>
        <w:spacing w:after="140" w:line="276"/>
      </w:pPr>
      <w:r>
        <w:rPr>
          <w:color w:val="555555"/>
          <w:sz w:val="20"/>
          <w:szCs w:val="20"/>
        </w:rPr>
        <w:t xml:space="preserve">Source: a synthetic SQLite spend database (6 tables, line-item grain) with a companion formula-driven Excel dashboard. Analyses were written in SQL (Pareto/ABC via cumulative window functions, maverick spend via a LEFT JOIN to the contracts table, price variance via per-item best-price simulation). No employer or client data was used. Full query set and reproducible build script are published in the project repository.</w:t>
      </w:r>
    </w:p>
    <w:p>
      <w:pPr>
        <w:spacing w:after="140" w:line="276"/>
      </w:pPr>
      <w:r>
        <w:rPr>
          <w:color w:val="2E6E8E"/>
          <w:sz w:val="20"/>
          <w:szCs w:val="20"/>
        </w:rPr>
        <w:t xml:space="preserve">github.com/ShrutiSMorab/procurement-spend-analytics</w:t>
      </w:r>
    </w:p>
    <w:sectPr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/>
      </w:pBdr>
      <w:tabs>
        <w:tab w:val="right" w:pos="9026"/>
      </w:tabs>
      <w:spacing w:before="80"/>
    </w:pPr>
    <w:r>
      <w:rPr>
        <w:color w:val="555555"/>
        <w:sz w:val="15"/>
        <w:szCs w:val="15"/>
      </w:rPr>
      <w:t xml:space="preserve">Indirect Spend Optimisation — Procurement Consulting Case Study (synthetic data)</w:t>
    </w:r>
    <w:r>
      <w:rPr>
        <w:sz w:val="15"/>
        <w:szCs w:val="15"/>
      </w:rPr>
      <w:t xml:space="preserve">	</w:t>
    </w:r>
    <w:r>
      <w:rPr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2E6E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Indirect Spend Optimisation &amp; Supplier Rationalisation</dc:title>
  <dc:creator>Shruti Morab</dc:creator>
  <cp:lastModifiedBy>Un-named</cp:lastModifiedBy>
  <cp:revision>1</cp:revision>
  <dcterms:created xsi:type="dcterms:W3CDTF">2026-07-15T09:35:49.282Z</dcterms:created>
  <dcterms:modified xsi:type="dcterms:W3CDTF">2026-07-15T09:35:49.296Z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