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d097ecb056dbc7c39a5949ea2bd4e93d42803d"/>
    <w:p>
      <w:pPr>
        <w:pStyle w:val="Heading1"/>
      </w:pPr>
      <w:r>
        <w:t xml:space="preserve">Case brief: SaaS project-management consolidation</w:t>
      </w:r>
    </w:p>
    <w:p>
      <w:pPr>
        <w:pStyle w:val="FirstParagraph"/>
      </w:pPr>
      <w:r>
        <w:rPr>
          <w:bCs/>
          <w:b/>
        </w:rPr>
        <w:t xml:space="preserve">Company:</w:t>
      </w:r>
      <w:r>
        <w:t xml:space="preserve"> </w:t>
      </w:r>
      <w:r>
        <w:t xml:space="preserve">Meridian Mobility (fictional)</w:t>
      </w:r>
      <w:r>
        <w:t xml:space="preserve"> </w:t>
      </w:r>
      <w:r>
        <w:rPr>
          <w:bCs/>
          <w:b/>
        </w:rPr>
        <w:t xml:space="preserve">Role:</w:t>
      </w:r>
      <w:r>
        <w:t xml:space="preserve"> </w:t>
      </w:r>
      <w:r>
        <w:t xml:space="preserve">Procurement Manager, Indirect / Technology category</w:t>
      </w:r>
      <w:r>
        <w:t xml:space="preserve"> </w:t>
      </w:r>
      <w:r>
        <w:rPr>
          <w:bCs/>
          <w:b/>
        </w:rPr>
        <w:t xml:space="preserve">From:</w:t>
      </w:r>
      <w:r>
        <w:t xml:space="preserve"> </w:t>
      </w:r>
      <w:r>
        <w:t xml:space="preserve">VP Procurement</w:t>
      </w:r>
      <w:r>
        <w:t xml:space="preserve"> </w:t>
      </w:r>
      <w:r>
        <w:rPr>
          <w:bCs/>
          <w:b/>
        </w:rPr>
        <w:t xml:space="preserve">To:</w:t>
      </w:r>
      <w:r>
        <w:t xml:space="preserve"> </w:t>
      </w:r>
      <w:r>
        <w:t xml:space="preserve">the new Procurement Manager</w:t>
      </w:r>
    </w:p>
    <w:p>
      <w:r>
        <w:pict>
          <v:rect style="width:0;height:1.5pt" o:hralign="center" o:hrstd="t" o:hr="t"/>
        </w:pict>
      </w:r>
    </w:p>
    <w:bookmarkStart w:id="20" w:name="background"/>
    <w:p>
      <w:pPr>
        <w:pStyle w:val="Heading2"/>
      </w:pPr>
      <w:r>
        <w:t xml:space="preserve">Background</w:t>
      </w:r>
    </w:p>
    <w:p>
      <w:pPr>
        <w:pStyle w:val="FirstParagraph"/>
      </w:pPr>
      <w:r>
        <w:t xml:space="preserve">Meridian Mobility is a European multi-mobility platform. Roughly 2,300 employees across nine European markets, offering taxi, private-hire, car-sharing and micromobility inside one app. We have grown fast, partly through acquisition, and the back office has not always kept pace with the front end.</w:t>
      </w:r>
    </w:p>
    <w:p>
      <w:pPr>
        <w:pStyle w:val="BodyText"/>
      </w:pPr>
      <w:r>
        <w:t xml:space="preserve">During the last quarterly spend review, Finance flagged that we spend more than $2.3M a year on project-management and collaboration software alone. Different departments bought their own tools over the years, on their own contracts, with no central owner. We now run four paid platforms that do broadly the same job, plus Microsoft Planner which comes free with our Microsoft 365 licence.</w:t>
      </w:r>
    </w:p>
    <w:bookmarkEnd w:id="20"/>
    <w:bookmarkStart w:id="21" w:name="the-situation"/>
    <w:p>
      <w:pPr>
        <w:pStyle w:val="Heading2"/>
      </w:pPr>
      <w:r>
        <w:t xml:space="preserve">The situation</w:t>
      </w:r>
    </w:p>
    <w:p>
      <w:pPr>
        <w:pStyle w:val="FirstParagraph"/>
      </w:pPr>
      <w:r>
        <w:t xml:space="preserve">Here is what we are paying today.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Vendor</w:t>
            </w:r>
          </w:p>
        </w:tc>
        <w:tc>
          <w:tcPr/>
          <w:p>
            <w:pPr>
              <w:pStyle w:val="Compact"/>
              <w:jc w:val="left"/>
            </w:pPr>
            <w:r>
              <w:t xml:space="preserve">Purchased seats</w:t>
            </w:r>
          </w:p>
        </w:tc>
        <w:tc>
          <w:tcPr/>
          <w:p>
            <w:pPr>
              <w:pStyle w:val="Compact"/>
              <w:jc w:val="left"/>
            </w:pPr>
            <w:r>
              <w:t xml:space="preserve">Active users</w:t>
            </w:r>
          </w:p>
        </w:tc>
        <w:tc>
          <w:tcPr/>
          <w:p>
            <w:pPr>
              <w:pStyle w:val="Compact"/>
              <w:jc w:val="left"/>
            </w:pPr>
            <w:r>
              <w:t xml:space="preserve">Annual cost</w:t>
            </w:r>
          </w:p>
        </w:tc>
        <w:tc>
          <w:tcPr/>
          <w:p>
            <w:pPr>
              <w:pStyle w:val="Compact"/>
              <w:jc w:val="left"/>
            </w:pPr>
            <w:r>
              <w:t xml:space="preserve">Contract expires in</w:t>
            </w:r>
          </w:p>
        </w:tc>
      </w:tr>
      <w:tr>
        <w:tc>
          <w:tcPr/>
          <w:p>
            <w:pPr>
              <w:pStyle w:val="Compact"/>
              <w:jc w:val="left"/>
            </w:pPr>
            <w:r>
              <w:t xml:space="preserve">Jira Software Premium</w:t>
            </w:r>
          </w:p>
        </w:tc>
        <w:tc>
          <w:tcPr/>
          <w:p>
            <w:pPr>
              <w:pStyle w:val="Compact"/>
              <w:jc w:val="left"/>
            </w:pPr>
            <w:r>
              <w:t xml:space="preserve">900</w:t>
            </w:r>
          </w:p>
        </w:tc>
        <w:tc>
          <w:tcPr/>
          <w:p>
            <w:pPr>
              <w:pStyle w:val="Compact"/>
              <w:jc w:val="left"/>
            </w:pPr>
            <w:r>
              <w:t xml:space="preserve">not tracked</w:t>
            </w:r>
          </w:p>
        </w:tc>
        <w:tc>
          <w:tcPr/>
          <w:p>
            <w:pPr>
              <w:pStyle w:val="Compact"/>
              <w:jc w:val="left"/>
            </w:pPr>
            <w:r>
              <w:t xml:space="preserve">$1,050,000</w:t>
            </w:r>
          </w:p>
        </w:tc>
        <w:tc>
          <w:tcPr/>
          <w:p>
            <w:pPr>
              <w:pStyle w:val="Compact"/>
              <w:jc w:val="left"/>
            </w:pPr>
            <w:r>
              <w:t xml:space="preserve">9 months</w:t>
            </w:r>
          </w:p>
        </w:tc>
      </w:tr>
      <w:tr>
        <w:tc>
          <w:tcPr/>
          <w:p>
            <w:pPr>
              <w:pStyle w:val="Compact"/>
              <w:jc w:val="left"/>
            </w:pPr>
            <w:r>
              <w:t xml:space="preserve">Asana Enterprise</w:t>
            </w:r>
          </w:p>
        </w:tc>
        <w:tc>
          <w:tcPr/>
          <w:p>
            <w:pPr>
              <w:pStyle w:val="Compact"/>
              <w:jc w:val="left"/>
            </w:pPr>
            <w:r>
              <w:t xml:space="preserve">650</w:t>
            </w:r>
          </w:p>
        </w:tc>
        <w:tc>
          <w:tcPr/>
          <w:p>
            <w:pPr>
              <w:pStyle w:val="Compact"/>
              <w:jc w:val="left"/>
            </w:pPr>
            <w:r>
              <w:t xml:space="preserve">510</w:t>
            </w:r>
          </w:p>
        </w:tc>
        <w:tc>
          <w:tcPr/>
          <w:p>
            <w:pPr>
              <w:pStyle w:val="Compact"/>
              <w:jc w:val="left"/>
            </w:pPr>
            <w:r>
              <w:t xml:space="preserve">$780,000</w:t>
            </w:r>
          </w:p>
        </w:tc>
        <w:tc>
          <w:tcPr/>
          <w:p>
            <w:pPr>
              <w:pStyle w:val="Compact"/>
              <w:jc w:val="left"/>
            </w:pPr>
            <w:r>
              <w:t xml:space="preserve">4 months</w:t>
            </w:r>
          </w:p>
        </w:tc>
      </w:tr>
      <w:tr>
        <w:tc>
          <w:tcPr/>
          <w:p>
            <w:pPr>
              <w:pStyle w:val="Compact"/>
              <w:jc w:val="left"/>
            </w:pPr>
            <w:r>
              <w:t xml:space="preserve">Monday.com Enterprise</w:t>
            </w:r>
          </w:p>
        </w:tc>
        <w:tc>
          <w:tcPr/>
          <w:p>
            <w:pPr>
              <w:pStyle w:val="Compact"/>
              <w:jc w:val="left"/>
            </w:pPr>
            <w:r>
              <w:t xml:space="preserve">350</w:t>
            </w:r>
          </w:p>
        </w:tc>
        <w:tc>
          <w:tcPr/>
          <w:p>
            <w:pPr>
              <w:pStyle w:val="Compact"/>
              <w:jc w:val="left"/>
            </w:pPr>
            <w:r>
              <w:t xml:space="preserve">230</w:t>
            </w:r>
          </w:p>
        </w:tc>
        <w:tc>
          <w:tcPr/>
          <w:p>
            <w:pPr>
              <w:pStyle w:val="Compact"/>
              <w:jc w:val="left"/>
            </w:pPr>
            <w:r>
              <w:t xml:space="preserve">$420,000</w:t>
            </w:r>
          </w:p>
        </w:tc>
        <w:tc>
          <w:tcPr/>
          <w:p>
            <w:pPr>
              <w:pStyle w:val="Compact"/>
              <w:jc w:val="left"/>
            </w:pPr>
            <w:r>
              <w:t xml:space="preserve">3 months</w:t>
            </w:r>
          </w:p>
        </w:tc>
      </w:tr>
      <w:tr>
        <w:tc>
          <w:tcPr/>
          <w:p>
            <w:pPr>
              <w:pStyle w:val="Compact"/>
              <w:jc w:val="left"/>
            </w:pPr>
            <w:r>
              <w:t xml:space="preserve">Trello Enterprise</w:t>
            </w:r>
          </w:p>
        </w:tc>
        <w:tc>
          <w:tcPr/>
          <w:p>
            <w:pPr>
              <w:pStyle w:val="Compact"/>
              <w:jc w:val="left"/>
            </w:pPr>
            <w:r>
              <w:t xml:space="preserve">250</w:t>
            </w:r>
          </w:p>
        </w:tc>
        <w:tc>
          <w:tcPr/>
          <w:p>
            <w:pPr>
              <w:pStyle w:val="Compact"/>
              <w:jc w:val="left"/>
            </w:pPr>
            <w:r>
              <w:t xml:space="preserve">120</w:t>
            </w:r>
          </w:p>
        </w:tc>
        <w:tc>
          <w:tcPr/>
          <w:p>
            <w:pPr>
              <w:pStyle w:val="Compact"/>
              <w:jc w:val="left"/>
            </w:pPr>
            <w:r>
              <w:t xml:space="preserve">$120,000</w:t>
            </w:r>
          </w:p>
        </w:tc>
        <w:tc>
          <w:tcPr/>
          <w:p>
            <w:pPr>
              <w:pStyle w:val="Compact"/>
              <w:jc w:val="left"/>
            </w:pPr>
            <w:r>
              <w:t xml:space="preserve">6 months</w:t>
            </w:r>
          </w:p>
        </w:tc>
      </w:tr>
      <w:tr>
        <w:tc>
          <w:tcPr/>
          <w:p>
            <w:pPr>
              <w:pStyle w:val="Compact"/>
              <w:jc w:val="left"/>
            </w:pPr>
            <w:r>
              <w:t xml:space="preserve">Microsoft Planner</w:t>
            </w:r>
          </w:p>
        </w:tc>
        <w:tc>
          <w:tcPr/>
          <w:p>
            <w:pPr>
              <w:pStyle w:val="Compact"/>
              <w:jc w:val="left"/>
            </w:pPr>
            <w:r>
              <w:t xml:space="preserve">bundled</w:t>
            </w:r>
          </w:p>
        </w:tc>
        <w:tc>
          <w:tcPr/>
          <w:p>
            <w:pPr>
              <w:pStyle w:val="Compact"/>
              <w:jc w:val="left"/>
            </w:pPr>
            <w:r>
              <w:t xml:space="preserve">n/a</w:t>
            </w:r>
          </w:p>
        </w:tc>
        <w:tc>
          <w:tcPr/>
          <w:p>
            <w:pPr>
              <w:pStyle w:val="Compact"/>
              <w:jc w:val="left"/>
            </w:pPr>
            <w:r>
              <w:t xml:space="preserve">$0 incremental</w:t>
            </w:r>
          </w:p>
        </w:tc>
        <w:tc>
          <w:tcPr/>
          <w:p>
            <w:pPr>
              <w:pStyle w:val="Compact"/>
              <w:jc w:val="left"/>
            </w:pPr>
            <w:r>
              <w:t xml:space="preserve">n/a</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$2,370,000</w:t>
            </w:r>
          </w:p>
        </w:tc>
        <w:tc>
          <w:tcPr/>
          <w:p>
            <w:pPr>
              <w:pStyle w:val="Compact"/>
            </w:pPr>
          </w:p>
        </w:tc>
      </w:tr>
    </w:tbl>
    <w:p>
      <w:pPr>
        <w:pStyle w:val="BodyText"/>
      </w:pPr>
      <w:r>
        <w:t xml:space="preserve">Three problems sit underneath that table.</w:t>
      </w:r>
    </w:p>
    <w:p>
      <w:pPr>
        <w:pStyle w:val="BodyText"/>
      </w:pPr>
      <w:r>
        <w:rPr>
          <w:bCs/>
          <w:b/>
        </w:rPr>
        <w:t xml:space="preserve">Duplication.</w:t>
      </w:r>
      <w:r>
        <w:t xml:space="preserve"> </w:t>
      </w:r>
      <w:r>
        <w:t xml:space="preserve">Product runs on Asana, Engineering on Jira, Marketing on Monday.com, HR on Asana, Operations on Trello. Around 180 employees hold licences on two or more platforms at once. We are paying twice for the same person.</w:t>
      </w:r>
    </w:p>
    <w:p>
      <w:pPr>
        <w:pStyle w:val="BodyText"/>
      </w:pPr>
      <w:r>
        <w:rPr>
          <w:bCs/>
          <w:b/>
        </w:rPr>
        <w:t xml:space="preserve">Low utilisation.</w:t>
      </w:r>
      <w:r>
        <w:t xml:space="preserve"> </w:t>
      </w:r>
      <w:r>
        <w:t xml:space="preserve">Asana bought 650 seats and 510 people use it. Monday.com bought 350 and 230 use it. Trello bought 250 and 120 use it. That is a lot of shelf-ware. We do not have an active-user figure for Jira, which is its own problem.</w:t>
      </w:r>
    </w:p>
    <w:p>
      <w:pPr>
        <w:pStyle w:val="BodyText"/>
      </w:pPr>
      <w:r>
        <w:rPr>
          <w:bCs/>
          <w:b/>
        </w:rPr>
        <w:t xml:space="preserve">No leverage.</w:t>
      </w:r>
      <w:r>
        <w:t xml:space="preserve"> </w:t>
      </w:r>
      <w:r>
        <w:t xml:space="preserve">Every contract was negotiated separately by a different department, so we have never once gone to a vendor as a single enterprise buyer. We think consolidated volume could buy us better pricing, longer terms, and better support and SLAs.</w:t>
      </w:r>
    </w:p>
    <w:bookmarkEnd w:id="21"/>
    <w:bookmarkStart w:id="22" w:name="what-we-expect-from-you"/>
    <w:p>
      <w:pPr>
        <w:pStyle w:val="Heading2"/>
      </w:pPr>
      <w:r>
        <w:t xml:space="preserve">What we expect from you</w:t>
      </w:r>
    </w:p>
    <w:p>
      <w:pPr>
        <w:pStyle w:val="FirstParagraph"/>
      </w:pPr>
      <w:r>
        <w:t xml:space="preserve">We want a sourcing recommendation that reduces cost without breaking how teams work. Specifically:</w:t>
      </w:r>
    </w:p>
    <w:p>
      <w:pPr>
        <w:numPr>
          <w:ilvl w:val="0"/>
          <w:numId w:val="1001"/>
        </w:numPr>
        <w:pStyle w:val="Compact"/>
      </w:pPr>
      <w:r>
        <w:t xml:space="preserve">Analyse the spend and the utilisation. Show us where the money actually goes and what is wasted.</w:t>
      </w:r>
    </w:p>
    <w:p>
      <w:pPr>
        <w:numPr>
          <w:ilvl w:val="0"/>
          <w:numId w:val="1001"/>
        </w:numPr>
        <w:pStyle w:val="Compact"/>
      </w:pPr>
      <w:r>
        <w:t xml:space="preserve">Evaluate the four vendors against criteria that matter to us, not just price.</w:t>
      </w:r>
    </w:p>
    <w:p>
      <w:pPr>
        <w:numPr>
          <w:ilvl w:val="0"/>
          <w:numId w:val="1001"/>
        </w:numPr>
        <w:pStyle w:val="Compact"/>
      </w:pPr>
      <w:r>
        <w:t xml:space="preserve">Build a negotiation strategy for the renewals that are coming up, starting with the ones that expire soonest.</w:t>
      </w:r>
    </w:p>
    <w:p>
      <w:pPr>
        <w:numPr>
          <w:ilvl w:val="0"/>
          <w:numId w:val="1001"/>
        </w:numPr>
        <w:pStyle w:val="Compact"/>
      </w:pPr>
      <w:r>
        <w:t xml:space="preserve">Recommend which tools we keep, which we retire, and how we sequence the change against the contract calendar.</w:t>
      </w:r>
    </w:p>
    <w:p>
      <w:pPr>
        <w:numPr>
          <w:ilvl w:val="0"/>
          <w:numId w:val="1001"/>
        </w:numPr>
        <w:pStyle w:val="Compact"/>
      </w:pPr>
      <w:r>
        <w:t xml:space="preserve">Put a defensible savings number on it, with the assumptions visible.</w:t>
      </w:r>
    </w:p>
    <w:bookmarkEnd w:id="22"/>
    <w:bookmarkStart w:id="23" w:name="constraints"/>
    <w:p>
      <w:pPr>
        <w:pStyle w:val="Heading2"/>
      </w:pPr>
      <w:r>
        <w:t xml:space="preserve">Constraints</w:t>
      </w:r>
    </w:p>
    <w:p>
      <w:pPr>
        <w:numPr>
          <w:ilvl w:val="0"/>
          <w:numId w:val="1002"/>
        </w:numPr>
        <w:pStyle w:val="Compact"/>
      </w:pPr>
      <w:r>
        <w:t xml:space="preserve">Engineering will not move off Jira. Do not propose it. Their toolchain is built around it and the switching cost is not worth any licence saving.</w:t>
      </w:r>
    </w:p>
    <w:p>
      <w:pPr>
        <w:numPr>
          <w:ilvl w:val="0"/>
          <w:numId w:val="1002"/>
        </w:numPr>
        <w:pStyle w:val="Compact"/>
      </w:pPr>
      <w:r>
        <w:t xml:space="preserve">No big-bang migrations. Teams need to keep delivering while this happens.</w:t>
      </w:r>
    </w:p>
    <w:p>
      <w:pPr>
        <w:numPr>
          <w:ilvl w:val="0"/>
          <w:numId w:val="1002"/>
        </w:numPr>
        <w:pStyle w:val="Compact"/>
      </w:pPr>
      <w:r>
        <w:t xml:space="preserve">Any savings number you show us has to survive Finance asking how you got it.</w:t>
      </w:r>
    </w:p>
    <w:bookmarkEnd w:id="23"/>
    <w:bookmarkStart w:id="24" w:name="data-provided"/>
    <w:p>
      <w:pPr>
        <w:pStyle w:val="Heading2"/>
      </w:pPr>
      <w:r>
        <w:t xml:space="preserve">Data provided</w:t>
      </w:r>
    </w:p>
    <w:p>
      <w:pPr>
        <w:pStyle w:val="FirstParagraph"/>
      </w:pPr>
      <w:r>
        <w:t xml:space="preserve">Everything is in the table above plus the contract-expiry column. Active-user counts are from the SaaS admin consoles. The 180 duplicate-holder figure is from an IT licence audit and is approximate.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2026-07-26T19:45:24Z</dcterms:created>
  <dcterms:modified xsi:type="dcterms:W3CDTF">2026-07-26T19:45:24Z</dcterms:modified>
</cp:coreProperties>
</file>

<file path=docProps/custom.xml><?xml version="1.0" encoding="utf-8"?>
<Properties xmlns="http://schemas.openxmlformats.org/officeDocument/2006/custom-properties" xmlns:vt="http://schemas.openxmlformats.org/officeDocument/2006/docPropsVTypes"/>
</file>