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Granite Regional Laboratory</w:t>
      </w:r>
    </w:p>
    <w:p>
      <w:r>
        <w:t>Lowell, MA</w:t>
      </w:r>
    </w:p>
    <w:p>
      <w:r>
        <w:t>Lab report</w:t>
      </w:r>
    </w:p>
    <w:p>
      <w:r>
        <w:t>Patient: Saul Lebsack  DOB: 1961-07-02</w:t>
      </w:r>
    </w:p>
    <w:p>
      <w:r>
        <w:t>Date: 2026-08-16</w:t>
      </w:r>
    </w:p>
    <w:p/>
    <w:p>
      <w:r>
        <w:t>Ordering clinic: outside primary care</w:t>
      </w:r>
    </w:p>
    <w:p>
      <w:r>
        <w:t>eGFR 74 mL/min/1.73m2 (collected 2026-08-14)</w:t>
      </w:r>
    </w:p>
    <w:p>
      <w:r>
        <w:t>Urine albumin/creatinine ratio 18 mg/g (collected 2026-08-16)</w:t>
      </w:r>
    </w:p>
    <w:p>
      <w:r>
        <w:t>Serum creatinine 1.0 mg/dL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SD-128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