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Commonwealth Health Exchange</w:t>
      </w:r>
    </w:p>
    <w:p>
      <w:r>
        <w:t>Boston, MA</w:t>
      </w:r>
    </w:p>
    <w:p>
      <w:r>
        <w:t>Care summary</w:t>
      </w:r>
    </w:p>
    <w:p>
      <w:r>
        <w:t>Patient: Estell Aufderhar  DOB: 1952-06-04</w:t>
      </w:r>
    </w:p>
    <w:p>
      <w:r>
        <w:t>Date: 2026-06-30</w:t>
      </w:r>
    </w:p>
    <w:p/>
    <w:p>
      <w:r>
        <w:t>Home visit by care manager.</w:t>
      </w:r>
    </w:p>
    <w:p>
      <w:r>
        <w:t>Uses a walker, two falls this year.</w:t>
      </w:r>
    </w:p>
    <w:p>
      <w:r>
        <w:t>Advanced Alzheimer dementia, on donepezil.</w:t>
      </w:r>
    </w:p>
    <w:p>
      <w:r>
        <w:t>A1c ordered today.</w:t>
      </w:r>
    </w:p>
    <w:p>
      <w:r>
        <w:t>Flu vaccine given.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 summary SD-213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