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18CD00E">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2359808" w:rsidR="00BD1D43" w:rsidRDefault="00D946EB"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Analysis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 xml:space="preserve">Student Performance Analysis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C2BCE60" w:rsidR="00BD1D43" w:rsidRDefault="00D946EB"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Shruti Ganesh Wagh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116204C" w:rsidR="00BD1D43" w:rsidRDefault="00FB052D" w:rsidP="00BD1D43">
                                      <w:pPr>
                                        <w:rPr>
                                          <w:rFonts w:ascii="Arial" w:hAnsi="Arial" w:cs="Arial"/>
                                          <w:color w:val="595959" w:themeColor="text1" w:themeTint="A6"/>
                                          <w:sz w:val="20"/>
                                          <w:szCs w:val="43"/>
                                        </w:rPr>
                                      </w:pPr>
                                      <w:r>
                                        <w:rPr>
                                          <w:rFonts w:ascii="Arial" w:hAnsi="Arial" w:cs="Arial"/>
                                          <w:color w:val="595959" w:themeColor="text1" w:themeTint="A6"/>
                                          <w:sz w:val="20"/>
                                          <w:szCs w:val="43"/>
                                        </w:rPr>
                                        <w:t>15-08-2024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2359808" w:rsidR="00BD1D43" w:rsidRDefault="00D946EB"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Analysis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 xml:space="preserve">Student Performance Analysis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C2BCE60" w:rsidR="00BD1D43" w:rsidRDefault="00D946EB"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Shruti Ganesh Wagh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116204C" w:rsidR="00BD1D43" w:rsidRDefault="00FB052D" w:rsidP="00BD1D43">
                                <w:pPr>
                                  <w:rPr>
                                    <w:rFonts w:ascii="Arial" w:hAnsi="Arial" w:cs="Arial"/>
                                    <w:color w:val="595959" w:themeColor="text1" w:themeTint="A6"/>
                                    <w:sz w:val="20"/>
                                    <w:szCs w:val="43"/>
                                  </w:rPr>
                                </w:pPr>
                                <w:r>
                                  <w:rPr>
                                    <w:rFonts w:ascii="Arial" w:hAnsi="Arial" w:cs="Arial"/>
                                    <w:color w:val="595959" w:themeColor="text1" w:themeTint="A6"/>
                                    <w:sz w:val="20"/>
                                    <w:szCs w:val="43"/>
                                  </w:rPr>
                                  <w:t>15-08-2024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Counselage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B713861" w:rsidR="00EF7D1E" w:rsidRPr="00EF7D1E" w:rsidRDefault="00D946EB"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Shruti Ganesh Wagh </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27540CA6" w:rsidR="00EF7D1E" w:rsidRPr="00EF7D1E" w:rsidRDefault="00FB052D" w:rsidP="00EF7D1E">
            <w:pPr>
              <w:ind w:left="426"/>
              <w:jc w:val="both"/>
              <w:rPr>
                <w:rFonts w:ascii="Arial" w:hAnsi="Arial" w:cs="Arial"/>
                <w:color w:val="595959" w:themeColor="text1" w:themeTint="A6"/>
                <w:sz w:val="22"/>
                <w:szCs w:val="22"/>
                <w:lang w:val="en-US"/>
              </w:rPr>
            </w:pPr>
            <w:r w:rsidRPr="00FB052D">
              <w:rPr>
                <w:rFonts w:ascii="Arial" w:hAnsi="Arial" w:cs="Arial"/>
                <w:color w:val="595959" w:themeColor="text1" w:themeTint="A6"/>
                <w:sz w:val="22"/>
                <w:szCs w:val="22"/>
                <w:lang w:val="en-US"/>
              </w:rPr>
              <w:t xml:space="preserve">Harshada </w:t>
            </w:r>
            <w:proofErr w:type="spellStart"/>
            <w:r w:rsidRPr="00FB052D">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335A0126" w:rsidR="00EF7D1E" w:rsidRPr="00EF7D1E" w:rsidRDefault="00FB052D" w:rsidP="00FB052D">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  15-08-2024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104EBD10" w:rsidR="00EF7D1E" w:rsidRPr="00EF7D1E" w:rsidRDefault="00FB052D"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05-09-2-24</w:t>
            </w:r>
          </w:p>
        </w:tc>
      </w:tr>
    </w:tbl>
    <w:p w14:paraId="4150E369" w14:textId="77777777" w:rsidR="00893293" w:rsidRDefault="00893293" w:rsidP="00EF7D1E">
      <w:pPr>
        <w:jc w:val="both"/>
        <w:rPr>
          <w:rFonts w:ascii="Arial" w:hAnsi="Arial" w:cs="Arial"/>
          <w:color w:val="595959" w:themeColor="text1" w:themeTint="A6"/>
        </w:rPr>
      </w:pPr>
    </w:p>
    <w:p w14:paraId="0B229583" w14:textId="77777777" w:rsidR="00F30237" w:rsidRDefault="00397D59" w:rsidP="00F30237">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C6F71A4" w14:textId="69D42880" w:rsidR="00F30237" w:rsidRPr="00F30237" w:rsidRDefault="00F30237" w:rsidP="00F30237">
      <w:pPr>
        <w:pStyle w:val="Heading1"/>
        <w:numPr>
          <w:ilvl w:val="0"/>
          <w:numId w:val="0"/>
        </w:numPr>
        <w:spacing w:before="240" w:line="360" w:lineRule="auto"/>
        <w:ind w:left="432"/>
        <w:jc w:val="both"/>
        <w:rPr>
          <w:rFonts w:ascii="Arial" w:hAnsi="Arial" w:cs="Arial"/>
          <w:b/>
          <w:bCs/>
          <w:color w:val="FFB923" w:themeColor="accent4"/>
          <w:sz w:val="28"/>
          <w:szCs w:val="28"/>
        </w:rPr>
      </w:pPr>
      <w:r w:rsidRPr="00F30237">
        <w:rPr>
          <w:sz w:val="28"/>
          <w:szCs w:val="28"/>
        </w:rPr>
        <w:t>Conducted a comprehensive analysis of student interns, focusing on the         relationships between academic performance, event participation, career aspirations, and key success factors. Utilized data visualization tools like Power BI to generate actionable insights.</w:t>
      </w: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A057CEC" w14:textId="49B68F2A" w:rsidR="00F30237" w:rsidRPr="00F30237" w:rsidRDefault="00F30237" w:rsidP="00F30237">
      <w:pPr>
        <w:ind w:left="426"/>
        <w:jc w:val="both"/>
        <w:rPr>
          <w:rFonts w:ascii="Arial" w:hAnsi="Arial" w:cs="Arial"/>
          <w:color w:val="595959" w:themeColor="text1" w:themeTint="A6"/>
        </w:rPr>
      </w:pPr>
    </w:p>
    <w:p w14:paraId="651D247A" w14:textId="6F965302" w:rsidR="00397D59" w:rsidRDefault="00F30237" w:rsidP="00F30237">
      <w:pPr>
        <w:ind w:left="426"/>
        <w:jc w:val="both"/>
        <w:rPr>
          <w:rFonts w:ascii="Arial" w:hAnsi="Arial" w:cs="Arial"/>
          <w:color w:val="595959" w:themeColor="text1" w:themeTint="A6"/>
        </w:rPr>
      </w:pPr>
      <w:r w:rsidRPr="00F30237">
        <w:rPr>
          <w:rFonts w:ascii="Arial" w:hAnsi="Arial" w:cs="Arial"/>
          <w:color w:val="595959" w:themeColor="text1" w:themeTint="A6"/>
        </w:rPr>
        <w:t>This project aims to analyze data about student interns to better understand the factors impacting their academic success, career goals, and involvement in events. Using a dataset that includes details on academic performance, event participation, career interests, and other key factors, we want to uncover patterns and insights that highlight what contributes to student success. This information will help our institution make better decisions to support student growth, improve engagement, and provide relevant opportunities that align with their aspirations.</w:t>
      </w:r>
    </w:p>
    <w:p w14:paraId="2A0D42C0" w14:textId="23F1B1B7" w:rsidR="00397D59" w:rsidRDefault="00397D59" w:rsidP="00397D59">
      <w:pPr>
        <w:ind w:left="273" w:firstLine="720"/>
      </w:pPr>
    </w:p>
    <w:p w14:paraId="7898DE7F" w14:textId="77777777" w:rsidR="00397D59" w:rsidRPr="00397D59" w:rsidRDefault="00397D59" w:rsidP="00397D59"/>
    <w:p w14:paraId="2BA85E29" w14:textId="1619A934" w:rsidR="00980092"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3D3AF25F" w14:textId="5BDB755A" w:rsidR="004962B4" w:rsidRDefault="004962B4" w:rsidP="004962B4">
      <w:r>
        <w:t xml:space="preserve">          </w:t>
      </w:r>
    </w:p>
    <w:p w14:paraId="1970E993" w14:textId="77777777" w:rsidR="004962B4" w:rsidRDefault="004962B4" w:rsidP="004962B4">
      <w:pPr>
        <w:jc w:val="both"/>
      </w:pPr>
      <w:r>
        <w:t>The primary stakeholders in this project include:</w:t>
      </w:r>
    </w:p>
    <w:p w14:paraId="1BBD75AF" w14:textId="77777777" w:rsidR="004962B4" w:rsidRDefault="004962B4" w:rsidP="004962B4">
      <w:pPr>
        <w:jc w:val="both"/>
      </w:pPr>
    </w:p>
    <w:p w14:paraId="4E5886C7" w14:textId="2D467FE5" w:rsidR="004962B4" w:rsidRDefault="004962B4" w:rsidP="004962B4">
      <w:pPr>
        <w:pStyle w:val="ListParagraph"/>
        <w:numPr>
          <w:ilvl w:val="0"/>
          <w:numId w:val="33"/>
        </w:numPr>
        <w:jc w:val="both"/>
      </w:pPr>
      <w:r>
        <w:t>Students: Beneficiaries of insights that can help guide their academic and career paths.</w:t>
      </w:r>
    </w:p>
    <w:p w14:paraId="502006A9" w14:textId="77777777" w:rsidR="004962B4" w:rsidRDefault="004962B4" w:rsidP="004962B4">
      <w:pPr>
        <w:pStyle w:val="ListParagraph"/>
        <w:ind w:left="720"/>
        <w:jc w:val="both"/>
      </w:pPr>
    </w:p>
    <w:p w14:paraId="35374FB8" w14:textId="72DA8291" w:rsidR="004962B4" w:rsidRDefault="004962B4" w:rsidP="004962B4">
      <w:pPr>
        <w:pStyle w:val="ListParagraph"/>
        <w:numPr>
          <w:ilvl w:val="0"/>
          <w:numId w:val="33"/>
        </w:numPr>
        <w:jc w:val="both"/>
      </w:pPr>
      <w:r>
        <w:t>Career Services and Academic Advisors: Individuals who can utilize the findings to provide targeted guidance, resources, and support for students.</w:t>
      </w:r>
    </w:p>
    <w:p w14:paraId="0544B346" w14:textId="77777777" w:rsidR="004962B4" w:rsidRDefault="004962B4" w:rsidP="004962B4">
      <w:pPr>
        <w:jc w:val="both"/>
      </w:pPr>
    </w:p>
    <w:p w14:paraId="47AC91E2" w14:textId="1CD54359" w:rsidR="004962B4" w:rsidRDefault="004962B4" w:rsidP="004962B4">
      <w:pPr>
        <w:pStyle w:val="ListParagraph"/>
        <w:numPr>
          <w:ilvl w:val="0"/>
          <w:numId w:val="33"/>
        </w:numPr>
        <w:jc w:val="both"/>
      </w:pPr>
      <w:r>
        <w:t>University Administration and Event Organizers: Teams responsible for planning and promoting events, who can leverage insights to increase student engagement and participation.</w:t>
      </w:r>
    </w:p>
    <w:p w14:paraId="4D0763B1" w14:textId="77777777" w:rsidR="004962B4" w:rsidRDefault="004962B4" w:rsidP="004962B4">
      <w:pPr>
        <w:jc w:val="both"/>
      </w:pPr>
    </w:p>
    <w:p w14:paraId="6B77654F" w14:textId="154B0E8D" w:rsidR="004962B4" w:rsidRPr="004962B4" w:rsidRDefault="004962B4" w:rsidP="004962B4">
      <w:pPr>
        <w:jc w:val="both"/>
      </w:pPr>
      <w:r>
        <w:t xml:space="preserve">       4. Hiring Managers and Recruiters: External stakeholders interested in understanding                             trends in student skills, career readiness, and key success factors for internship candidates.</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1AB8EDCD" w14:textId="04C6BEB3" w:rsidR="004962B4" w:rsidRPr="004962B4" w:rsidRDefault="004962B4" w:rsidP="004962B4">
      <w:pPr>
        <w:rPr>
          <w:rFonts w:ascii="Arial" w:hAnsi="Arial" w:cs="Arial"/>
          <w:i/>
          <w:iCs/>
          <w:color w:val="595959" w:themeColor="text1" w:themeTint="A6"/>
        </w:rPr>
      </w:pPr>
      <w:r>
        <w:rPr>
          <w:rFonts w:ascii="Arial" w:hAnsi="Arial" w:cs="Arial"/>
          <w:i/>
          <w:iCs/>
          <w:color w:val="595959" w:themeColor="text1" w:themeTint="A6"/>
        </w:rPr>
        <w:t xml:space="preserve">                </w:t>
      </w:r>
      <w:r w:rsidRPr="004962B4">
        <w:rPr>
          <w:rFonts w:ascii="Arial" w:hAnsi="Arial" w:cs="Arial"/>
          <w:i/>
          <w:iCs/>
          <w:color w:val="595959" w:themeColor="text1" w:themeTint="A6"/>
        </w:rPr>
        <w:t xml:space="preserve"> </w:t>
      </w:r>
    </w:p>
    <w:p w14:paraId="43879F79" w14:textId="77777777" w:rsidR="004962B4" w:rsidRPr="004962B4" w:rsidRDefault="004962B4" w:rsidP="004962B4">
      <w:pPr>
        <w:jc w:val="both"/>
        <w:rPr>
          <w:rFonts w:ascii="Arial" w:hAnsi="Arial" w:cs="Arial"/>
          <w:i/>
          <w:iCs/>
          <w:color w:val="595959" w:themeColor="text1" w:themeTint="A6"/>
        </w:rPr>
      </w:pPr>
      <w:r w:rsidRPr="004962B4">
        <w:rPr>
          <w:rFonts w:ascii="Arial" w:hAnsi="Arial" w:cs="Arial"/>
          <w:i/>
          <w:iCs/>
          <w:color w:val="595959" w:themeColor="text1" w:themeTint="A6"/>
        </w:rPr>
        <w:t>The project aimed to analyze various aspects of student interns' academic performance, event participation, and career aspirations to identify factors that drive their success. Key objectives include:</w:t>
      </w:r>
    </w:p>
    <w:p w14:paraId="44FDC22B" w14:textId="77777777" w:rsidR="004962B4" w:rsidRPr="004962B4" w:rsidRDefault="004962B4" w:rsidP="004962B4">
      <w:pPr>
        <w:jc w:val="both"/>
        <w:rPr>
          <w:rFonts w:ascii="Arial" w:hAnsi="Arial" w:cs="Arial"/>
          <w:i/>
          <w:iCs/>
          <w:color w:val="595959" w:themeColor="text1" w:themeTint="A6"/>
        </w:rPr>
      </w:pPr>
    </w:p>
    <w:p w14:paraId="560EC3F6" w14:textId="2C0532D6" w:rsidR="004962B4" w:rsidRPr="004962B4" w:rsidRDefault="004962B4" w:rsidP="004962B4">
      <w:pPr>
        <w:pStyle w:val="ListParagraph"/>
        <w:numPr>
          <w:ilvl w:val="0"/>
          <w:numId w:val="34"/>
        </w:numPr>
        <w:jc w:val="both"/>
        <w:rPr>
          <w:rFonts w:ascii="Arial" w:hAnsi="Arial" w:cs="Arial"/>
          <w:i/>
          <w:iCs/>
          <w:color w:val="595959" w:themeColor="text1" w:themeTint="A6"/>
        </w:rPr>
      </w:pPr>
      <w:r w:rsidRPr="004962B4">
        <w:rPr>
          <w:rFonts w:ascii="Arial" w:hAnsi="Arial" w:cs="Arial"/>
          <w:i/>
          <w:iCs/>
          <w:color w:val="595959" w:themeColor="text1" w:themeTint="A6"/>
        </w:rPr>
        <w:t>Identify Relationships: Establish connections between GPA, event participation, and career goals to provide actionable insights for student support.</w:t>
      </w:r>
    </w:p>
    <w:p w14:paraId="631B5E80" w14:textId="77777777" w:rsidR="004962B4" w:rsidRPr="004962B4" w:rsidRDefault="004962B4" w:rsidP="004962B4">
      <w:pPr>
        <w:pStyle w:val="ListParagraph"/>
        <w:ind w:left="720"/>
        <w:jc w:val="both"/>
        <w:rPr>
          <w:rFonts w:ascii="Arial" w:hAnsi="Arial" w:cs="Arial"/>
          <w:i/>
          <w:iCs/>
          <w:color w:val="595959" w:themeColor="text1" w:themeTint="A6"/>
        </w:rPr>
      </w:pPr>
    </w:p>
    <w:p w14:paraId="0F809421" w14:textId="3CD70486" w:rsidR="004962B4" w:rsidRPr="004962B4" w:rsidRDefault="004962B4" w:rsidP="004962B4">
      <w:pPr>
        <w:pStyle w:val="ListParagraph"/>
        <w:numPr>
          <w:ilvl w:val="0"/>
          <w:numId w:val="34"/>
        </w:numPr>
        <w:jc w:val="both"/>
        <w:rPr>
          <w:rFonts w:ascii="Arial" w:hAnsi="Arial" w:cs="Arial"/>
          <w:i/>
          <w:iCs/>
          <w:color w:val="595959" w:themeColor="text1" w:themeTint="A6"/>
        </w:rPr>
      </w:pPr>
      <w:r w:rsidRPr="004962B4">
        <w:rPr>
          <w:rFonts w:ascii="Arial" w:hAnsi="Arial" w:cs="Arial"/>
          <w:i/>
          <w:iCs/>
          <w:color w:val="595959" w:themeColor="text1" w:themeTint="A6"/>
        </w:rPr>
        <w:t>Enhance Event Engagement:</w:t>
      </w:r>
      <w:r>
        <w:rPr>
          <w:rFonts w:ascii="Arial" w:hAnsi="Arial" w:cs="Arial"/>
          <w:i/>
          <w:iCs/>
          <w:color w:val="595959" w:themeColor="text1" w:themeTint="A6"/>
        </w:rPr>
        <w:t xml:space="preserve"> </w:t>
      </w:r>
      <w:r w:rsidRPr="004962B4">
        <w:rPr>
          <w:rFonts w:ascii="Arial" w:hAnsi="Arial" w:cs="Arial"/>
          <w:i/>
          <w:iCs/>
          <w:color w:val="595959" w:themeColor="text1" w:themeTint="A6"/>
        </w:rPr>
        <w:t>Determine which promotion channels and event types most effectively attract students to encourage higher participation.</w:t>
      </w:r>
    </w:p>
    <w:p w14:paraId="342B6969" w14:textId="77777777" w:rsidR="004962B4" w:rsidRPr="004962B4" w:rsidRDefault="004962B4" w:rsidP="004962B4">
      <w:pPr>
        <w:pStyle w:val="ListParagraph"/>
        <w:jc w:val="both"/>
        <w:rPr>
          <w:rFonts w:ascii="Arial" w:hAnsi="Arial" w:cs="Arial"/>
          <w:i/>
          <w:iCs/>
          <w:color w:val="595959" w:themeColor="text1" w:themeTint="A6"/>
        </w:rPr>
      </w:pPr>
    </w:p>
    <w:p w14:paraId="6280D9A6" w14:textId="77777777" w:rsidR="004962B4" w:rsidRPr="004962B4" w:rsidRDefault="004962B4" w:rsidP="004962B4">
      <w:pPr>
        <w:pStyle w:val="ListParagraph"/>
        <w:ind w:left="720"/>
        <w:jc w:val="both"/>
        <w:rPr>
          <w:rFonts w:ascii="Arial" w:hAnsi="Arial" w:cs="Arial"/>
          <w:i/>
          <w:iCs/>
          <w:color w:val="595959" w:themeColor="text1" w:themeTint="A6"/>
        </w:rPr>
      </w:pPr>
    </w:p>
    <w:p w14:paraId="52BF6EB5" w14:textId="1FD56179" w:rsidR="004962B4" w:rsidRPr="004962B4" w:rsidRDefault="004962B4" w:rsidP="004962B4">
      <w:pPr>
        <w:jc w:val="both"/>
        <w:rPr>
          <w:rFonts w:ascii="Arial" w:hAnsi="Arial" w:cs="Arial"/>
          <w:i/>
          <w:iCs/>
          <w:color w:val="595959" w:themeColor="text1" w:themeTint="A6"/>
        </w:rPr>
      </w:pPr>
      <w:r>
        <w:rPr>
          <w:rFonts w:ascii="Arial" w:hAnsi="Arial" w:cs="Arial"/>
          <w:i/>
          <w:iCs/>
          <w:color w:val="595959" w:themeColor="text1" w:themeTint="A6"/>
        </w:rPr>
        <w:t xml:space="preserve">     </w:t>
      </w:r>
      <w:r w:rsidRPr="004962B4">
        <w:rPr>
          <w:rFonts w:ascii="Arial" w:hAnsi="Arial" w:cs="Arial"/>
          <w:i/>
          <w:iCs/>
          <w:color w:val="595959" w:themeColor="text1" w:themeTint="A6"/>
        </w:rPr>
        <w:t>3. Provide Data-Driven Guidance:</w:t>
      </w:r>
      <w:r>
        <w:rPr>
          <w:rFonts w:ascii="Arial" w:hAnsi="Arial" w:cs="Arial"/>
          <w:i/>
          <w:iCs/>
          <w:color w:val="595959" w:themeColor="text1" w:themeTint="A6"/>
        </w:rPr>
        <w:t xml:space="preserve"> </w:t>
      </w:r>
      <w:r w:rsidRPr="004962B4">
        <w:rPr>
          <w:rFonts w:ascii="Arial" w:hAnsi="Arial" w:cs="Arial"/>
          <w:i/>
          <w:iCs/>
          <w:color w:val="595959" w:themeColor="text1" w:themeTint="A6"/>
        </w:rPr>
        <w:t xml:space="preserve">Offer university staff and career advisors clear </w:t>
      </w:r>
      <w:r>
        <w:rPr>
          <w:rFonts w:ascii="Arial" w:hAnsi="Arial" w:cs="Arial"/>
          <w:i/>
          <w:iCs/>
          <w:color w:val="595959" w:themeColor="text1" w:themeTint="A6"/>
        </w:rPr>
        <w:t xml:space="preserve">  </w:t>
      </w:r>
      <w:r w:rsidRPr="004962B4">
        <w:rPr>
          <w:rFonts w:ascii="Arial" w:hAnsi="Arial" w:cs="Arial"/>
          <w:i/>
          <w:iCs/>
          <w:color w:val="595959" w:themeColor="text1" w:themeTint="A6"/>
        </w:rPr>
        <w:t>insights to guide students more effectively in their academic and career pursuits.</w:t>
      </w:r>
    </w:p>
    <w:p w14:paraId="150702DA" w14:textId="77777777" w:rsidR="004962B4" w:rsidRPr="004962B4" w:rsidRDefault="004962B4" w:rsidP="004962B4">
      <w:pPr>
        <w:jc w:val="both"/>
        <w:rPr>
          <w:rFonts w:ascii="Arial" w:hAnsi="Arial" w:cs="Arial"/>
          <w:i/>
          <w:iCs/>
          <w:color w:val="595959" w:themeColor="text1" w:themeTint="A6"/>
        </w:rPr>
      </w:pPr>
    </w:p>
    <w:p w14:paraId="0B88A3C5" w14:textId="49052AA7" w:rsidR="006059C0" w:rsidRDefault="004962B4" w:rsidP="004962B4">
      <w:pPr>
        <w:jc w:val="both"/>
      </w:pPr>
      <w:r w:rsidRPr="004962B4">
        <w:rPr>
          <w:rFonts w:ascii="Arial" w:hAnsi="Arial" w:cs="Arial"/>
          <w:i/>
          <w:iCs/>
          <w:color w:val="595959" w:themeColor="text1" w:themeTint="A6"/>
        </w:rPr>
        <w:t>All original objectives have been achieved, with minor additions to explore salary expectations based on skills and experience, as discussed post-Project Charter approval.</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CE31A23" w14:textId="7945114C" w:rsidR="00682147" w:rsidRDefault="004962B4" w:rsidP="004962B4">
      <w:pPr>
        <w:ind w:left="273"/>
        <w:jc w:val="both"/>
      </w:pPr>
      <w:r w:rsidRPr="004962B4">
        <w:t xml:space="preserve">This project required careful consideration of the dataset's quality, limitations, and </w:t>
      </w:r>
      <w:r>
        <w:t xml:space="preserve">  </w:t>
      </w:r>
      <w:r w:rsidRPr="004962B4">
        <w:t>potential biases to ensure accurate analysis. Assumptions were made about the consistency and relevance of the available data attributes, like GPA, event participation, and career goals. These assumptions were essential for shaping the analysis focus and identifying reliable trends despite any data gaps or inconsistencies.</w:t>
      </w:r>
    </w:p>
    <w:p w14:paraId="27E7F466" w14:textId="77777777" w:rsidR="004962B4" w:rsidRDefault="00ED01C9" w:rsidP="004962B4">
      <w:pPr>
        <w:pStyle w:val="Heading2"/>
        <w:ind w:left="993" w:hanging="567"/>
        <w:rPr>
          <w:rFonts w:ascii="Arial" w:eastAsia="Times New Roman" w:hAnsi="Arial" w:cs="Arial"/>
        </w:rPr>
      </w:pPr>
      <w:bookmarkStart w:id="8" w:name="_Toc143445383"/>
      <w:r>
        <w:rPr>
          <w:rFonts w:ascii="Arial" w:eastAsia="Times New Roman" w:hAnsi="Arial" w:cs="Arial"/>
        </w:rPr>
        <w:t>Approac</w:t>
      </w:r>
      <w:bookmarkEnd w:id="8"/>
      <w:r w:rsidR="004962B4">
        <w:rPr>
          <w:rFonts w:ascii="Arial" w:eastAsia="Times New Roman" w:hAnsi="Arial" w:cs="Arial"/>
        </w:rPr>
        <w:t>h</w:t>
      </w:r>
    </w:p>
    <w:p w14:paraId="1A89949A" w14:textId="39179475" w:rsidR="004962B4" w:rsidRPr="004962B4" w:rsidRDefault="004962B4" w:rsidP="004962B4">
      <w:pPr>
        <w:pStyle w:val="Heading2"/>
        <w:numPr>
          <w:ilvl w:val="0"/>
          <w:numId w:val="0"/>
        </w:numPr>
        <w:ind w:left="993"/>
        <w:rPr>
          <w:b w:val="0"/>
          <w:bCs w:val="0"/>
          <w:color w:val="2C3038" w:themeColor="text2" w:themeShade="80"/>
          <w:sz w:val="24"/>
          <w:szCs w:val="24"/>
        </w:rPr>
      </w:pPr>
      <w:bookmarkStart w:id="9" w:name="_Toc143445384"/>
      <w:r w:rsidRPr="004962B4">
        <w:rPr>
          <w:b w:val="0"/>
          <w:bCs w:val="0"/>
          <w:color w:val="2C3038" w:themeColor="text2" w:themeShade="80"/>
          <w:sz w:val="24"/>
          <w:szCs w:val="24"/>
        </w:rPr>
        <w:t>A structured, data-driven approach was used to address the project objectives, ensuring insights were based on well-defined metrics. This included descriptive analysis to understand baseline trends, correlation analysis to explore relationships among variables, and visualization to highlight key findings. This approach was chosen to keep the analysis clear, actionable, and aligned with project goals.</w:t>
      </w:r>
    </w:p>
    <w:p w14:paraId="3D12121C" w14:textId="56A419BA" w:rsidR="00401CAB" w:rsidRDefault="00401CAB" w:rsidP="003C166C">
      <w:pPr>
        <w:pStyle w:val="Heading2"/>
        <w:rPr>
          <w:rFonts w:eastAsia="Times New Roman"/>
        </w:rPr>
      </w:pPr>
      <w:r>
        <w:rPr>
          <w:rFonts w:eastAsia="Times New Roman"/>
        </w:rPr>
        <w:t>Activities</w:t>
      </w:r>
      <w:bookmarkEnd w:id="9"/>
    </w:p>
    <w:p w14:paraId="731C13AD" w14:textId="20702537" w:rsidR="003C166C" w:rsidRDefault="003C166C" w:rsidP="003C166C">
      <w:pPr>
        <w:rPr>
          <w:lang w:eastAsia="en-IN"/>
        </w:rPr>
      </w:pPr>
      <w:r>
        <w:rPr>
          <w:rFonts w:hAnsi="Symbol"/>
        </w:rPr>
        <w:t></w:t>
      </w:r>
      <w:r>
        <w:t xml:space="preserve"> Conducted requirement gathering to align project goals with stakeholder expectations.</w:t>
      </w:r>
    </w:p>
    <w:p w14:paraId="172BCD9C" w14:textId="1AA644F2" w:rsidR="003C166C" w:rsidRDefault="003C166C" w:rsidP="003C166C">
      <w:r>
        <w:rPr>
          <w:rFonts w:hAnsi="Symbol"/>
        </w:rPr>
        <w:t></w:t>
      </w:r>
      <w:r>
        <w:t xml:space="preserve"> Planned the project phases, focusing on data collection, preparation, and analysis.</w:t>
      </w:r>
    </w:p>
    <w:p w14:paraId="067B9398" w14:textId="1ED94D2C" w:rsidR="003C166C" w:rsidRDefault="003C166C" w:rsidP="003C166C">
      <w:r>
        <w:rPr>
          <w:rFonts w:hAnsi="Symbol"/>
        </w:rPr>
        <w:t></w:t>
      </w:r>
      <w:r>
        <w:t xml:space="preserve"> Performed data cleaning, transformation, and visualization to prepare for analysis.</w:t>
      </w:r>
    </w:p>
    <w:p w14:paraId="4E1D571F" w14:textId="060EDC63" w:rsidR="003C166C" w:rsidRPr="003C166C" w:rsidRDefault="003C166C" w:rsidP="003C166C">
      <w:r>
        <w:rPr>
          <w:rFonts w:hAnsi="Symbol"/>
        </w:rPr>
        <w:t></w:t>
      </w:r>
      <w:r>
        <w:t xml:space="preserve"> Generated insights and drafted a presentation to communicate findings effectively.</w:t>
      </w:r>
    </w:p>
    <w:p w14:paraId="518BFF98" w14:textId="77777777" w:rsidR="00503190" w:rsidRDefault="00503190" w:rsidP="00224CCF">
      <w:pPr>
        <w:rPr>
          <w:rFonts w:ascii="Arial" w:hAnsi="Arial" w:cs="Arial"/>
          <w:i/>
          <w:iCs/>
          <w:color w:val="595959" w:themeColor="text1" w:themeTint="A6"/>
        </w:rPr>
      </w:pPr>
    </w:p>
    <w:p w14:paraId="0331EA45" w14:textId="77777777" w:rsidR="003C166C" w:rsidRPr="007D2EA8" w:rsidRDefault="003C166C" w:rsidP="00224CCF"/>
    <w:p w14:paraId="7C04F00C" w14:textId="635789F1" w:rsidR="005675AC" w:rsidRDefault="00991F49" w:rsidP="003C166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5D6D00F6" w14:textId="490E42AB" w:rsidR="003C166C" w:rsidRPr="003C166C" w:rsidRDefault="003C166C" w:rsidP="003C166C">
      <w:pPr>
        <w:jc w:val="both"/>
        <w:rPr>
          <w:rFonts w:ascii="Arial" w:hAnsi="Arial" w:cs="Arial"/>
          <w:color w:val="595959" w:themeColor="text1" w:themeTint="A6"/>
        </w:rPr>
      </w:pPr>
    </w:p>
    <w:p w14:paraId="39CAC418" w14:textId="77777777" w:rsidR="003C166C" w:rsidRPr="003C166C" w:rsidRDefault="003C166C" w:rsidP="003C166C">
      <w:pPr>
        <w:ind w:firstLine="432"/>
        <w:jc w:val="both"/>
        <w:rPr>
          <w:rFonts w:ascii="Arial" w:hAnsi="Arial" w:cs="Arial"/>
          <w:color w:val="595959" w:themeColor="text1" w:themeTint="A6"/>
        </w:rPr>
      </w:pPr>
    </w:p>
    <w:p w14:paraId="32D1A7AF" w14:textId="77777777" w:rsidR="003C166C" w:rsidRPr="003C166C" w:rsidRDefault="003C166C" w:rsidP="003C166C">
      <w:pPr>
        <w:jc w:val="both"/>
        <w:rPr>
          <w:rFonts w:ascii="Arial" w:hAnsi="Arial" w:cs="Arial"/>
          <w:color w:val="595959" w:themeColor="text1" w:themeTint="A6"/>
        </w:rPr>
      </w:pPr>
      <w:r w:rsidRPr="003C166C">
        <w:rPr>
          <w:rFonts w:ascii="Arial" w:hAnsi="Arial" w:cs="Arial"/>
          <w:color w:val="595959" w:themeColor="text1" w:themeTint="A6"/>
        </w:rPr>
        <w:t>The project set out to deliver insights on what factors impact the success of student interns, focusing on academic performance, event participation, and career aspirations. The targeted output was to identify relationships between variables like GPA, event involvement, and skill development to help advisors, event organizers, and career services provide better support and guidance for students.</w:t>
      </w:r>
    </w:p>
    <w:p w14:paraId="301AABAF" w14:textId="77777777" w:rsidR="003C166C" w:rsidRPr="003C166C" w:rsidRDefault="003C166C" w:rsidP="003C166C">
      <w:pPr>
        <w:ind w:firstLine="432"/>
        <w:jc w:val="both"/>
        <w:rPr>
          <w:rFonts w:ascii="Arial" w:hAnsi="Arial" w:cs="Arial"/>
          <w:color w:val="595959" w:themeColor="text1" w:themeTint="A6"/>
        </w:rPr>
      </w:pPr>
    </w:p>
    <w:p w14:paraId="0A391A84" w14:textId="174401B8" w:rsidR="003C166C" w:rsidRPr="003C166C" w:rsidRDefault="003C166C" w:rsidP="003C166C">
      <w:pPr>
        <w:jc w:val="both"/>
        <w:rPr>
          <w:rFonts w:ascii="Arial" w:hAnsi="Arial" w:cs="Arial"/>
          <w:b/>
          <w:bCs/>
          <w:color w:val="595959" w:themeColor="text1" w:themeTint="A6"/>
        </w:rPr>
      </w:pPr>
      <w:r w:rsidRPr="003C166C">
        <w:rPr>
          <w:rFonts w:ascii="Arial" w:hAnsi="Arial" w:cs="Arial"/>
          <w:b/>
          <w:bCs/>
          <w:color w:val="595959" w:themeColor="text1" w:themeTint="A6"/>
        </w:rPr>
        <w:t>Achieved Output:</w:t>
      </w:r>
    </w:p>
    <w:p w14:paraId="4BBAE76F" w14:textId="05AA796A" w:rsidR="003C166C" w:rsidRPr="003C166C" w:rsidRDefault="003C166C" w:rsidP="003C166C">
      <w:pPr>
        <w:jc w:val="both"/>
        <w:rPr>
          <w:rFonts w:ascii="Arial" w:hAnsi="Arial" w:cs="Arial"/>
          <w:color w:val="595959" w:themeColor="text1" w:themeTint="A6"/>
        </w:rPr>
      </w:pPr>
      <w:r w:rsidRPr="003C166C">
        <w:rPr>
          <w:rFonts w:ascii="Arial" w:hAnsi="Arial" w:cs="Arial"/>
          <w:color w:val="595959" w:themeColor="text1" w:themeTint="A6"/>
        </w:rPr>
        <w:t>The analysis successfully met these objectives, revealing important trends and connections, such as how GPA and event engagement relate to career goals, which promotion channels attract the most participation, and how skills like programming experience impact salary expectations. The final output included a set of visualizations and summaries that communicate these findings clearly, offering practical recommendations for stakeholders.</w:t>
      </w:r>
    </w:p>
    <w:p w14:paraId="5C4D70FA" w14:textId="77777777" w:rsidR="003C166C" w:rsidRPr="003C166C" w:rsidRDefault="003C166C" w:rsidP="003C166C">
      <w:pPr>
        <w:ind w:firstLine="432"/>
        <w:jc w:val="both"/>
        <w:rPr>
          <w:rFonts w:ascii="Arial" w:hAnsi="Arial" w:cs="Arial"/>
          <w:color w:val="595959" w:themeColor="text1" w:themeTint="A6"/>
        </w:rPr>
      </w:pPr>
    </w:p>
    <w:p w14:paraId="21F416FD" w14:textId="4185D12D" w:rsidR="003C166C" w:rsidRPr="003C166C" w:rsidRDefault="003C166C" w:rsidP="003C166C">
      <w:pPr>
        <w:jc w:val="both"/>
        <w:rPr>
          <w:rFonts w:ascii="Arial" w:hAnsi="Arial" w:cs="Arial"/>
          <w:b/>
          <w:bCs/>
          <w:color w:val="595959" w:themeColor="text1" w:themeTint="A6"/>
        </w:rPr>
      </w:pPr>
      <w:r w:rsidRPr="003C166C">
        <w:rPr>
          <w:rFonts w:ascii="Arial" w:hAnsi="Arial" w:cs="Arial"/>
          <w:b/>
          <w:bCs/>
          <w:color w:val="595959" w:themeColor="text1" w:themeTint="A6"/>
        </w:rPr>
        <w:t xml:space="preserve">Deviations and Reasons: </w:t>
      </w:r>
    </w:p>
    <w:p w14:paraId="7601A555" w14:textId="2C22BE87" w:rsidR="00991F49" w:rsidRPr="00ED01C9" w:rsidRDefault="003C166C" w:rsidP="003C166C">
      <w:pPr>
        <w:jc w:val="both"/>
        <w:rPr>
          <w:rFonts w:ascii="Arial" w:hAnsi="Arial" w:cs="Arial"/>
          <w:color w:val="595959" w:themeColor="text1" w:themeTint="A6"/>
        </w:rPr>
      </w:pPr>
      <w:r w:rsidRPr="003C166C">
        <w:rPr>
          <w:rFonts w:ascii="Arial" w:hAnsi="Arial" w:cs="Arial"/>
          <w:color w:val="595959" w:themeColor="text1" w:themeTint="A6"/>
        </w:rPr>
        <w:t>There were only minor deviations, primarily in the data preparation phase. Initial dataset inconsistencies required some adjustments in the data cleaning process to ensure accuracy. This deviation served as a valuable lesson in performing detailed data checks upfront, helping avoid similar issues in future projects. Overall, these changes contributed positively by enhancing the clarity and reliability of the analysis without affecting project goals or timelines.</w:t>
      </w:r>
    </w:p>
    <w:p w14:paraId="598325D1" w14:textId="77777777" w:rsidR="00991F49" w:rsidRPr="00020F32" w:rsidRDefault="00991F49" w:rsidP="003C166C">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0A716351" w14:textId="035F8B6A" w:rsidR="00651702" w:rsidRDefault="00651702" w:rsidP="00651702">
      <w:pPr>
        <w:widowControl w:val="0"/>
        <w:autoSpaceDE w:val="0"/>
        <w:autoSpaceDN w:val="0"/>
        <w:jc w:val="both"/>
        <w:rPr>
          <w:rFonts w:ascii="Arial" w:hAnsi="Arial" w:cs="Arial"/>
          <w:color w:val="595959" w:themeColor="text1" w:themeTint="A6"/>
        </w:rPr>
      </w:pPr>
      <w:r w:rsidRPr="00651702">
        <w:rPr>
          <w:rFonts w:ascii="Arial" w:hAnsi="Arial" w:cs="Arial"/>
          <w:color w:val="595959" w:themeColor="text1" w:themeTint="A6"/>
        </w:rPr>
        <w:t>Th</w:t>
      </w:r>
      <w:r>
        <w:rPr>
          <w:rFonts w:ascii="Arial" w:hAnsi="Arial" w:cs="Arial"/>
          <w:color w:val="595959" w:themeColor="text1" w:themeTint="A6"/>
        </w:rPr>
        <w:t xml:space="preserve">is </w:t>
      </w:r>
      <w:r w:rsidRPr="00651702">
        <w:rPr>
          <w:rFonts w:ascii="Arial" w:hAnsi="Arial" w:cs="Arial"/>
          <w:color w:val="595959" w:themeColor="text1" w:themeTint="A6"/>
        </w:rPr>
        <w:t>Project</w:t>
      </w:r>
      <w:r>
        <w:rPr>
          <w:rFonts w:ascii="Arial" w:hAnsi="Arial" w:cs="Arial"/>
          <w:color w:val="595959" w:themeColor="text1" w:themeTint="A6"/>
        </w:rPr>
        <w:t xml:space="preserve"> </w:t>
      </w:r>
      <w:r w:rsidRPr="00651702">
        <w:rPr>
          <w:rFonts w:ascii="Arial" w:hAnsi="Arial" w:cs="Arial"/>
          <w:color w:val="595959" w:themeColor="text1" w:themeTint="A6"/>
        </w:rPr>
        <w:t>provides valuable insights that will enable stakeholders to make informed decisions about supporting student interns more effectively. By identifying key factors that impact interns' success—such as academic performance, event participation, and career aspirations—stakeholders can better understand the needs and challenges of interns, allowing for tailored support strategies that improve their overall performance and experience.</w:t>
      </w:r>
    </w:p>
    <w:p w14:paraId="185B6D74" w14:textId="0682B6CA" w:rsidR="00651702" w:rsidRPr="00651702" w:rsidRDefault="00651702" w:rsidP="00651702">
      <w:pPr>
        <w:widowControl w:val="0"/>
        <w:autoSpaceDE w:val="0"/>
        <w:autoSpaceDN w:val="0"/>
        <w:jc w:val="both"/>
        <w:rPr>
          <w:rFonts w:ascii="Arial" w:hAnsi="Arial" w:cs="Arial"/>
          <w:color w:val="595959" w:themeColor="text1" w:themeTint="A6"/>
        </w:rPr>
      </w:pPr>
      <w:r>
        <w:rPr>
          <w:rFonts w:ascii="Arial" w:hAnsi="Arial" w:cs="Arial"/>
          <w:color w:val="595959" w:themeColor="text1" w:themeTint="A6"/>
        </w:rPr>
        <w:t xml:space="preserve"> </w:t>
      </w:r>
    </w:p>
    <w:p w14:paraId="3AFBDE29" w14:textId="77777777" w:rsidR="00651702" w:rsidRPr="00651702" w:rsidRDefault="00651702" w:rsidP="00651702">
      <w:pPr>
        <w:widowControl w:val="0"/>
        <w:autoSpaceDE w:val="0"/>
        <w:autoSpaceDN w:val="0"/>
        <w:jc w:val="both"/>
        <w:rPr>
          <w:rFonts w:ascii="Arial" w:hAnsi="Arial" w:cs="Arial"/>
          <w:color w:val="595959" w:themeColor="text1" w:themeTint="A6"/>
        </w:rPr>
      </w:pPr>
      <w:r w:rsidRPr="00651702">
        <w:rPr>
          <w:rFonts w:ascii="Arial" w:hAnsi="Arial" w:cs="Arial"/>
          <w:b/>
          <w:bCs/>
          <w:color w:val="595959" w:themeColor="text1" w:themeTint="A6"/>
        </w:rPr>
        <w:t>Future Scope:</w:t>
      </w:r>
    </w:p>
    <w:p w14:paraId="6B86AC86" w14:textId="77777777" w:rsidR="00651702" w:rsidRDefault="00651702" w:rsidP="00651702">
      <w:pPr>
        <w:widowControl w:val="0"/>
        <w:numPr>
          <w:ilvl w:val="0"/>
          <w:numId w:val="35"/>
        </w:numPr>
        <w:autoSpaceDE w:val="0"/>
        <w:autoSpaceDN w:val="0"/>
        <w:jc w:val="both"/>
        <w:rPr>
          <w:rFonts w:ascii="Arial" w:hAnsi="Arial" w:cs="Arial"/>
          <w:color w:val="595959" w:themeColor="text1" w:themeTint="A6"/>
        </w:rPr>
      </w:pPr>
      <w:r w:rsidRPr="00651702">
        <w:rPr>
          <w:rFonts w:ascii="Arial" w:hAnsi="Arial" w:cs="Arial"/>
          <w:b/>
          <w:bCs/>
          <w:color w:val="595959" w:themeColor="text1" w:themeTint="A6"/>
        </w:rPr>
        <w:t>Enhanced Support Programs:</w:t>
      </w:r>
      <w:r w:rsidRPr="00651702">
        <w:rPr>
          <w:rFonts w:ascii="Arial" w:hAnsi="Arial" w:cs="Arial"/>
          <w:color w:val="595959" w:themeColor="text1" w:themeTint="A6"/>
        </w:rPr>
        <w:t xml:space="preserve"> The insights can be used to develop targeted support programs, such as mentoring, skills training, and career counseling, aimed at improving areas that are strongly correlated with intern success.</w:t>
      </w:r>
    </w:p>
    <w:p w14:paraId="3F376303" w14:textId="77777777" w:rsidR="00651702" w:rsidRPr="00651702" w:rsidRDefault="00651702" w:rsidP="00651702">
      <w:pPr>
        <w:widowControl w:val="0"/>
        <w:autoSpaceDE w:val="0"/>
        <w:autoSpaceDN w:val="0"/>
        <w:ind w:left="720"/>
        <w:jc w:val="both"/>
        <w:rPr>
          <w:rFonts w:ascii="Arial" w:hAnsi="Arial" w:cs="Arial"/>
          <w:color w:val="595959" w:themeColor="text1" w:themeTint="A6"/>
        </w:rPr>
      </w:pPr>
    </w:p>
    <w:p w14:paraId="28958485" w14:textId="77777777" w:rsidR="00651702" w:rsidRDefault="00651702" w:rsidP="00651702">
      <w:pPr>
        <w:widowControl w:val="0"/>
        <w:numPr>
          <w:ilvl w:val="0"/>
          <w:numId w:val="35"/>
        </w:numPr>
        <w:autoSpaceDE w:val="0"/>
        <w:autoSpaceDN w:val="0"/>
        <w:jc w:val="both"/>
        <w:rPr>
          <w:rFonts w:ascii="Arial" w:hAnsi="Arial" w:cs="Arial"/>
          <w:color w:val="595959" w:themeColor="text1" w:themeTint="A6"/>
        </w:rPr>
      </w:pPr>
      <w:r w:rsidRPr="00651702">
        <w:rPr>
          <w:rFonts w:ascii="Arial" w:hAnsi="Arial" w:cs="Arial"/>
          <w:b/>
          <w:bCs/>
          <w:color w:val="595959" w:themeColor="text1" w:themeTint="A6"/>
        </w:rPr>
        <w:t>Longitudinal Analysis:</w:t>
      </w:r>
      <w:r w:rsidRPr="00651702">
        <w:rPr>
          <w:rFonts w:ascii="Arial" w:hAnsi="Arial" w:cs="Arial"/>
          <w:color w:val="595959" w:themeColor="text1" w:themeTint="A6"/>
        </w:rPr>
        <w:t xml:space="preserve"> By expanding the project to include data from multiple years, future analysis can identify trends over time, helping stakeholders anticipate evolving needs and adapt strategies accordingly.</w:t>
      </w:r>
    </w:p>
    <w:p w14:paraId="7D822214" w14:textId="77777777" w:rsidR="00651702" w:rsidRDefault="00651702" w:rsidP="00651702">
      <w:pPr>
        <w:pStyle w:val="ListParagraph"/>
        <w:jc w:val="both"/>
        <w:rPr>
          <w:rFonts w:ascii="Arial" w:hAnsi="Arial" w:cs="Arial"/>
          <w:color w:val="595959" w:themeColor="text1" w:themeTint="A6"/>
        </w:rPr>
      </w:pPr>
    </w:p>
    <w:p w14:paraId="4A8222E9" w14:textId="77777777" w:rsidR="00651702" w:rsidRPr="00651702" w:rsidRDefault="00651702" w:rsidP="00651702">
      <w:pPr>
        <w:widowControl w:val="0"/>
        <w:autoSpaceDE w:val="0"/>
        <w:autoSpaceDN w:val="0"/>
        <w:ind w:left="720"/>
        <w:jc w:val="both"/>
        <w:rPr>
          <w:rFonts w:ascii="Arial" w:hAnsi="Arial" w:cs="Arial"/>
          <w:color w:val="595959" w:themeColor="text1" w:themeTint="A6"/>
        </w:rPr>
      </w:pPr>
    </w:p>
    <w:p w14:paraId="0B09B544" w14:textId="2563F4D4" w:rsidR="00651702" w:rsidRDefault="00651702" w:rsidP="00651702">
      <w:pPr>
        <w:widowControl w:val="0"/>
        <w:numPr>
          <w:ilvl w:val="0"/>
          <w:numId w:val="35"/>
        </w:numPr>
        <w:autoSpaceDE w:val="0"/>
        <w:autoSpaceDN w:val="0"/>
        <w:jc w:val="both"/>
        <w:rPr>
          <w:rFonts w:ascii="Arial" w:hAnsi="Arial" w:cs="Arial"/>
          <w:color w:val="595959" w:themeColor="text1" w:themeTint="A6"/>
        </w:rPr>
      </w:pPr>
      <w:r w:rsidRPr="00651702">
        <w:rPr>
          <w:rFonts w:ascii="Arial" w:hAnsi="Arial" w:cs="Arial"/>
          <w:b/>
          <w:bCs/>
          <w:color w:val="595959" w:themeColor="text1" w:themeTint="A6"/>
        </w:rPr>
        <w:t>Predictive Modelling:</w:t>
      </w:r>
      <w:r w:rsidRPr="00651702">
        <w:rPr>
          <w:rFonts w:ascii="Arial" w:hAnsi="Arial" w:cs="Arial"/>
          <w:color w:val="595959" w:themeColor="text1" w:themeTint="A6"/>
        </w:rPr>
        <w:t xml:space="preserve"> The project’s findings can serve as the foundation for predictive modelling, enabling stakeholders to proactively identify interns at risk of underperformance and provide timely interventions.</w:t>
      </w:r>
    </w:p>
    <w:p w14:paraId="4937E322" w14:textId="77777777" w:rsidR="00651702" w:rsidRPr="00651702" w:rsidRDefault="00651702" w:rsidP="00651702">
      <w:pPr>
        <w:widowControl w:val="0"/>
        <w:autoSpaceDE w:val="0"/>
        <w:autoSpaceDN w:val="0"/>
        <w:ind w:left="720"/>
        <w:jc w:val="both"/>
        <w:rPr>
          <w:rFonts w:ascii="Arial" w:hAnsi="Arial" w:cs="Arial"/>
          <w:color w:val="595959" w:themeColor="text1" w:themeTint="A6"/>
        </w:rPr>
      </w:pPr>
    </w:p>
    <w:p w14:paraId="0E7BA81B" w14:textId="77777777" w:rsidR="00651702" w:rsidRPr="00651702" w:rsidRDefault="00651702" w:rsidP="00651702">
      <w:pPr>
        <w:widowControl w:val="0"/>
        <w:autoSpaceDE w:val="0"/>
        <w:autoSpaceDN w:val="0"/>
        <w:jc w:val="both"/>
        <w:rPr>
          <w:rFonts w:ascii="Arial" w:hAnsi="Arial" w:cs="Arial"/>
          <w:color w:val="595959" w:themeColor="text1" w:themeTint="A6"/>
        </w:rPr>
      </w:pPr>
      <w:r w:rsidRPr="00651702">
        <w:rPr>
          <w:rFonts w:ascii="Arial" w:hAnsi="Arial" w:cs="Arial"/>
          <w:color w:val="595959" w:themeColor="text1" w:themeTint="A6"/>
        </w:rPr>
        <w:lastRenderedPageBreak/>
        <w:t>In summary, this project not only delivers immediate insights but also establishes a basis for continuous improvement in internship programs, benefiting both current and future cohorts of student interns.</w:t>
      </w:r>
    </w:p>
    <w:p w14:paraId="4A9120BB" w14:textId="6DDE8624" w:rsidR="00991F49" w:rsidRDefault="00991F49" w:rsidP="00651702">
      <w:pPr>
        <w:widowControl w:val="0"/>
        <w:autoSpaceDE w:val="0"/>
        <w:autoSpaceDN w:val="0"/>
        <w:jc w:val="both"/>
        <w:rPr>
          <w:rFonts w:ascii="Arial" w:hAnsi="Arial" w:cs="Arial"/>
          <w:color w:val="595959" w:themeColor="text1" w:themeTint="A6"/>
        </w:rPr>
      </w:pP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37630D61"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651702" w:rsidRPr="00651702">
        <w:rPr>
          <w:rFonts w:ascii="Arial" w:eastAsia="Times New Roman" w:hAnsi="Arial" w:cs="Arial"/>
        </w:rPr>
        <w:t>Project Components Table</w:t>
      </w:r>
      <w:r w:rsidRPr="00373485">
        <w:rPr>
          <w:rFonts w:ascii="Arial" w:eastAsia="Times New Roman" w:hAnsi="Arial" w:cs="Arial"/>
        </w:rPr>
        <w:br/>
      </w:r>
    </w:p>
    <w:p w14:paraId="436992D6" w14:textId="7F6F83D1" w:rsidR="0007654E" w:rsidRPr="00F679FA" w:rsidRDefault="00651702" w:rsidP="0007654E">
      <w:pPr>
        <w:rPr>
          <w:rFonts w:ascii="Arial" w:hAnsi="Arial" w:cs="Arial"/>
          <w:color w:val="595959" w:themeColor="text1" w:themeTint="A6"/>
        </w:rPr>
      </w:pPr>
      <w:r>
        <w:rPr>
          <w:rFonts w:ascii="Arial" w:hAnsi="Arial" w:cs="Arial"/>
          <w:noProof/>
          <w:color w:val="595959" w:themeColor="text1" w:themeTint="A6"/>
        </w:rPr>
        <w:drawing>
          <wp:inline distT="0" distB="0" distL="0" distR="0" wp14:anchorId="7420E3CE" wp14:editId="18FF32B9">
            <wp:extent cx="5734050" cy="4347845"/>
            <wp:effectExtent l="0" t="0" r="0" b="0"/>
            <wp:docPr id="579127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27036" name="Picture 579127036"/>
                    <pic:cNvPicPr/>
                  </pic:nvPicPr>
                  <pic:blipFill>
                    <a:blip r:embed="rId15">
                      <a:extLst>
                        <a:ext uri="{28A0092B-C50C-407E-A947-70E740481C1C}">
                          <a14:useLocalDpi xmlns:a14="http://schemas.microsoft.com/office/drawing/2010/main" val="0"/>
                        </a:ext>
                      </a:extLst>
                    </a:blip>
                    <a:stretch>
                      <a:fillRect/>
                    </a:stretch>
                  </pic:blipFill>
                  <pic:spPr>
                    <a:xfrm>
                      <a:off x="0" y="0"/>
                      <a:ext cx="5734050" cy="4347845"/>
                    </a:xfrm>
                    <a:prstGeom prst="rect">
                      <a:avLst/>
                    </a:prstGeom>
                  </pic:spPr>
                </pic:pic>
              </a:graphicData>
            </a:graphic>
          </wp:inline>
        </w:drawing>
      </w: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2CAE8" w14:textId="77777777" w:rsidR="00264E9A" w:rsidRDefault="00264E9A" w:rsidP="008F7E07">
      <w:r>
        <w:separator/>
      </w:r>
    </w:p>
  </w:endnote>
  <w:endnote w:type="continuationSeparator" w:id="0">
    <w:p w14:paraId="241DE3CC" w14:textId="77777777" w:rsidR="00264E9A" w:rsidRDefault="00264E9A"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9B1CB" w14:textId="77777777" w:rsidR="00264E9A" w:rsidRDefault="00264E9A" w:rsidP="008F7E07">
      <w:r>
        <w:separator/>
      </w:r>
    </w:p>
  </w:footnote>
  <w:footnote w:type="continuationSeparator" w:id="0">
    <w:p w14:paraId="289B9344" w14:textId="77777777" w:rsidR="00264E9A" w:rsidRDefault="00264E9A"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457774"/>
    <w:multiLevelType w:val="multilevel"/>
    <w:tmpl w:val="FB1E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6EDB2331"/>
    <w:multiLevelType w:val="hybridMultilevel"/>
    <w:tmpl w:val="BBC03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36AF7"/>
    <w:multiLevelType w:val="hybridMultilevel"/>
    <w:tmpl w:val="72245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64768485">
    <w:abstractNumId w:val="3"/>
  </w:num>
  <w:num w:numId="2" w16cid:durableId="942954281">
    <w:abstractNumId w:val="22"/>
  </w:num>
  <w:num w:numId="3" w16cid:durableId="813762141">
    <w:abstractNumId w:val="18"/>
  </w:num>
  <w:num w:numId="4" w16cid:durableId="1645041687">
    <w:abstractNumId w:val="11"/>
  </w:num>
  <w:num w:numId="5" w16cid:durableId="1334139751">
    <w:abstractNumId w:val="6"/>
  </w:num>
  <w:num w:numId="6" w16cid:durableId="922841267">
    <w:abstractNumId w:val="7"/>
  </w:num>
  <w:num w:numId="7" w16cid:durableId="1949580158">
    <w:abstractNumId w:val="5"/>
  </w:num>
  <w:num w:numId="8" w16cid:durableId="1474063309">
    <w:abstractNumId w:val="14"/>
  </w:num>
  <w:num w:numId="9" w16cid:durableId="590240904">
    <w:abstractNumId w:val="24"/>
  </w:num>
  <w:num w:numId="10" w16cid:durableId="316033886">
    <w:abstractNumId w:val="9"/>
  </w:num>
  <w:num w:numId="11" w16cid:durableId="610816827">
    <w:abstractNumId w:val="10"/>
  </w:num>
  <w:num w:numId="12" w16cid:durableId="2117671547">
    <w:abstractNumId w:val="14"/>
  </w:num>
  <w:num w:numId="13" w16cid:durableId="613751565">
    <w:abstractNumId w:val="14"/>
  </w:num>
  <w:num w:numId="14" w16cid:durableId="143343195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746419188">
    <w:abstractNumId w:val="4"/>
  </w:num>
  <w:num w:numId="16" w16cid:durableId="1193881358">
    <w:abstractNumId w:val="13"/>
  </w:num>
  <w:num w:numId="17" w16cid:durableId="1037581692">
    <w:abstractNumId w:val="12"/>
  </w:num>
  <w:num w:numId="18" w16cid:durableId="1647053332">
    <w:abstractNumId w:val="16"/>
  </w:num>
  <w:num w:numId="19" w16cid:durableId="1650937092">
    <w:abstractNumId w:val="20"/>
  </w:num>
  <w:num w:numId="20" w16cid:durableId="949582873">
    <w:abstractNumId w:val="14"/>
  </w:num>
  <w:num w:numId="21" w16cid:durableId="1597714257">
    <w:abstractNumId w:val="17"/>
  </w:num>
  <w:num w:numId="22" w16cid:durableId="1002857001">
    <w:abstractNumId w:val="14"/>
  </w:num>
  <w:num w:numId="23" w16cid:durableId="134835609">
    <w:abstractNumId w:val="14"/>
  </w:num>
  <w:num w:numId="24" w16cid:durableId="1384138469">
    <w:abstractNumId w:val="19"/>
  </w:num>
  <w:num w:numId="25" w16cid:durableId="1556970099">
    <w:abstractNumId w:val="8"/>
  </w:num>
  <w:num w:numId="26" w16cid:durableId="1902673870">
    <w:abstractNumId w:val="1"/>
  </w:num>
  <w:num w:numId="27" w16cid:durableId="1692758201">
    <w:abstractNumId w:val="14"/>
  </w:num>
  <w:num w:numId="28" w16cid:durableId="1457212708">
    <w:abstractNumId w:val="2"/>
  </w:num>
  <w:num w:numId="29" w16cid:durableId="488406610">
    <w:abstractNumId w:val="14"/>
  </w:num>
  <w:num w:numId="30" w16cid:durableId="1520242843">
    <w:abstractNumId w:val="14"/>
  </w:num>
  <w:num w:numId="31" w16cid:durableId="257252632">
    <w:abstractNumId w:val="14"/>
  </w:num>
  <w:num w:numId="32" w16cid:durableId="555507642">
    <w:abstractNumId w:val="14"/>
  </w:num>
  <w:num w:numId="33" w16cid:durableId="1236403097">
    <w:abstractNumId w:val="23"/>
  </w:num>
  <w:num w:numId="34" w16cid:durableId="1464690066">
    <w:abstractNumId w:val="21"/>
  </w:num>
  <w:num w:numId="35" w16cid:durableId="138952659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45825"/>
    <w:rsid w:val="00056B82"/>
    <w:rsid w:val="000611D4"/>
    <w:rsid w:val="0006317A"/>
    <w:rsid w:val="00064BC6"/>
    <w:rsid w:val="0007654E"/>
    <w:rsid w:val="00080D93"/>
    <w:rsid w:val="000816A6"/>
    <w:rsid w:val="000A3CDF"/>
    <w:rsid w:val="000F4A14"/>
    <w:rsid w:val="00101A59"/>
    <w:rsid w:val="00117308"/>
    <w:rsid w:val="0013687A"/>
    <w:rsid w:val="00166CE5"/>
    <w:rsid w:val="00180604"/>
    <w:rsid w:val="00180A1B"/>
    <w:rsid w:val="00194510"/>
    <w:rsid w:val="001B408A"/>
    <w:rsid w:val="001D115F"/>
    <w:rsid w:val="00221172"/>
    <w:rsid w:val="00224CCF"/>
    <w:rsid w:val="0023408F"/>
    <w:rsid w:val="00236597"/>
    <w:rsid w:val="0024736F"/>
    <w:rsid w:val="00252EC6"/>
    <w:rsid w:val="002536D8"/>
    <w:rsid w:val="00264E9A"/>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C166C"/>
    <w:rsid w:val="003D2D42"/>
    <w:rsid w:val="003E02E6"/>
    <w:rsid w:val="003E116F"/>
    <w:rsid w:val="00401688"/>
    <w:rsid w:val="00401CAB"/>
    <w:rsid w:val="004042B1"/>
    <w:rsid w:val="0041242E"/>
    <w:rsid w:val="00446CF6"/>
    <w:rsid w:val="0045074A"/>
    <w:rsid w:val="00473A47"/>
    <w:rsid w:val="00475B3F"/>
    <w:rsid w:val="004777B6"/>
    <w:rsid w:val="0048310F"/>
    <w:rsid w:val="004962B4"/>
    <w:rsid w:val="004A22A4"/>
    <w:rsid w:val="004C1311"/>
    <w:rsid w:val="004D40C3"/>
    <w:rsid w:val="004E4C3F"/>
    <w:rsid w:val="004F792A"/>
    <w:rsid w:val="005016DC"/>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170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B206C"/>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A7E7E"/>
    <w:rsid w:val="009C4D92"/>
    <w:rsid w:val="009D5154"/>
    <w:rsid w:val="009D649D"/>
    <w:rsid w:val="009E1879"/>
    <w:rsid w:val="009E3828"/>
    <w:rsid w:val="00A0520C"/>
    <w:rsid w:val="00A07CEE"/>
    <w:rsid w:val="00A138AB"/>
    <w:rsid w:val="00A225EE"/>
    <w:rsid w:val="00A31C2E"/>
    <w:rsid w:val="00A34A5C"/>
    <w:rsid w:val="00A5231E"/>
    <w:rsid w:val="00A5636C"/>
    <w:rsid w:val="00A57283"/>
    <w:rsid w:val="00A718FC"/>
    <w:rsid w:val="00A808D3"/>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28"/>
    <w:rsid w:val="00C76077"/>
    <w:rsid w:val="00C815F3"/>
    <w:rsid w:val="00C909D4"/>
    <w:rsid w:val="00CA01DA"/>
    <w:rsid w:val="00CA04B3"/>
    <w:rsid w:val="00CB31BE"/>
    <w:rsid w:val="00CD2F0A"/>
    <w:rsid w:val="00CE0CCB"/>
    <w:rsid w:val="00CE275D"/>
    <w:rsid w:val="00D012F8"/>
    <w:rsid w:val="00D17FFE"/>
    <w:rsid w:val="00D225CD"/>
    <w:rsid w:val="00D31681"/>
    <w:rsid w:val="00D355F5"/>
    <w:rsid w:val="00D405EE"/>
    <w:rsid w:val="00D739C6"/>
    <w:rsid w:val="00D946EB"/>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0237"/>
    <w:rsid w:val="00F32490"/>
    <w:rsid w:val="00F446BB"/>
    <w:rsid w:val="00F55F10"/>
    <w:rsid w:val="00F571DE"/>
    <w:rsid w:val="00F669D2"/>
    <w:rsid w:val="00F679FA"/>
    <w:rsid w:val="00F72364"/>
    <w:rsid w:val="00F82584"/>
    <w:rsid w:val="00F84FDD"/>
    <w:rsid w:val="00F860DE"/>
    <w:rsid w:val="00F91FC9"/>
    <w:rsid w:val="00F96800"/>
    <w:rsid w:val="00FA5468"/>
    <w:rsid w:val="00FB052D"/>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3382474">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470095207">
      <w:bodyDiv w:val="1"/>
      <w:marLeft w:val="0"/>
      <w:marRight w:val="0"/>
      <w:marTop w:val="0"/>
      <w:marBottom w:val="0"/>
      <w:divBdr>
        <w:top w:val="none" w:sz="0" w:space="0" w:color="auto"/>
        <w:left w:val="none" w:sz="0" w:space="0" w:color="auto"/>
        <w:bottom w:val="none" w:sz="0" w:space="0" w:color="auto"/>
        <w:right w:val="none" w:sz="0" w:space="0" w:color="auto"/>
      </w:divBdr>
      <w:divsChild>
        <w:div w:id="802962783">
          <w:marLeft w:val="0"/>
          <w:marRight w:val="0"/>
          <w:marTop w:val="0"/>
          <w:marBottom w:val="0"/>
          <w:divBdr>
            <w:top w:val="none" w:sz="0" w:space="0" w:color="auto"/>
            <w:left w:val="none" w:sz="0" w:space="0" w:color="auto"/>
            <w:bottom w:val="none" w:sz="0" w:space="0" w:color="auto"/>
            <w:right w:val="none" w:sz="0" w:space="0" w:color="auto"/>
          </w:divBdr>
          <w:divsChild>
            <w:div w:id="232931390">
              <w:marLeft w:val="0"/>
              <w:marRight w:val="0"/>
              <w:marTop w:val="0"/>
              <w:marBottom w:val="0"/>
              <w:divBdr>
                <w:top w:val="none" w:sz="0" w:space="0" w:color="auto"/>
                <w:left w:val="none" w:sz="0" w:space="0" w:color="auto"/>
                <w:bottom w:val="none" w:sz="0" w:space="0" w:color="auto"/>
                <w:right w:val="none" w:sz="0" w:space="0" w:color="auto"/>
              </w:divBdr>
              <w:divsChild>
                <w:div w:id="446699659">
                  <w:marLeft w:val="0"/>
                  <w:marRight w:val="0"/>
                  <w:marTop w:val="0"/>
                  <w:marBottom w:val="0"/>
                  <w:divBdr>
                    <w:top w:val="none" w:sz="0" w:space="0" w:color="auto"/>
                    <w:left w:val="none" w:sz="0" w:space="0" w:color="auto"/>
                    <w:bottom w:val="none" w:sz="0" w:space="0" w:color="auto"/>
                    <w:right w:val="none" w:sz="0" w:space="0" w:color="auto"/>
                  </w:divBdr>
                  <w:divsChild>
                    <w:div w:id="21425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4608">
          <w:marLeft w:val="0"/>
          <w:marRight w:val="0"/>
          <w:marTop w:val="0"/>
          <w:marBottom w:val="0"/>
          <w:divBdr>
            <w:top w:val="none" w:sz="0" w:space="0" w:color="auto"/>
            <w:left w:val="none" w:sz="0" w:space="0" w:color="auto"/>
            <w:bottom w:val="none" w:sz="0" w:space="0" w:color="auto"/>
            <w:right w:val="none" w:sz="0" w:space="0" w:color="auto"/>
          </w:divBdr>
          <w:divsChild>
            <w:div w:id="1523930139">
              <w:marLeft w:val="0"/>
              <w:marRight w:val="0"/>
              <w:marTop w:val="0"/>
              <w:marBottom w:val="0"/>
              <w:divBdr>
                <w:top w:val="none" w:sz="0" w:space="0" w:color="auto"/>
                <w:left w:val="none" w:sz="0" w:space="0" w:color="auto"/>
                <w:bottom w:val="none" w:sz="0" w:space="0" w:color="auto"/>
                <w:right w:val="none" w:sz="0" w:space="0" w:color="auto"/>
              </w:divBdr>
              <w:divsChild>
                <w:div w:id="411006139">
                  <w:marLeft w:val="0"/>
                  <w:marRight w:val="0"/>
                  <w:marTop w:val="0"/>
                  <w:marBottom w:val="0"/>
                  <w:divBdr>
                    <w:top w:val="none" w:sz="0" w:space="0" w:color="auto"/>
                    <w:left w:val="none" w:sz="0" w:space="0" w:color="auto"/>
                    <w:bottom w:val="none" w:sz="0" w:space="0" w:color="auto"/>
                    <w:right w:val="none" w:sz="0" w:space="0" w:color="auto"/>
                  </w:divBdr>
                  <w:divsChild>
                    <w:div w:id="1796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39990110">
      <w:bodyDiv w:val="1"/>
      <w:marLeft w:val="0"/>
      <w:marRight w:val="0"/>
      <w:marTop w:val="0"/>
      <w:marBottom w:val="0"/>
      <w:divBdr>
        <w:top w:val="none" w:sz="0" w:space="0" w:color="auto"/>
        <w:left w:val="none" w:sz="0" w:space="0" w:color="auto"/>
        <w:bottom w:val="none" w:sz="0" w:space="0" w:color="auto"/>
        <w:right w:val="none" w:sz="0" w:space="0" w:color="auto"/>
      </w:divBdr>
      <w:divsChild>
        <w:div w:id="468088549">
          <w:marLeft w:val="0"/>
          <w:marRight w:val="0"/>
          <w:marTop w:val="0"/>
          <w:marBottom w:val="0"/>
          <w:divBdr>
            <w:top w:val="none" w:sz="0" w:space="0" w:color="auto"/>
            <w:left w:val="none" w:sz="0" w:space="0" w:color="auto"/>
            <w:bottom w:val="none" w:sz="0" w:space="0" w:color="auto"/>
            <w:right w:val="none" w:sz="0" w:space="0" w:color="auto"/>
          </w:divBdr>
          <w:divsChild>
            <w:div w:id="1280842071">
              <w:marLeft w:val="0"/>
              <w:marRight w:val="0"/>
              <w:marTop w:val="0"/>
              <w:marBottom w:val="0"/>
              <w:divBdr>
                <w:top w:val="none" w:sz="0" w:space="0" w:color="auto"/>
                <w:left w:val="none" w:sz="0" w:space="0" w:color="auto"/>
                <w:bottom w:val="none" w:sz="0" w:space="0" w:color="auto"/>
                <w:right w:val="none" w:sz="0" w:space="0" w:color="auto"/>
              </w:divBdr>
              <w:divsChild>
                <w:div w:id="2053310817">
                  <w:marLeft w:val="0"/>
                  <w:marRight w:val="0"/>
                  <w:marTop w:val="0"/>
                  <w:marBottom w:val="0"/>
                  <w:divBdr>
                    <w:top w:val="none" w:sz="0" w:space="0" w:color="auto"/>
                    <w:left w:val="none" w:sz="0" w:space="0" w:color="auto"/>
                    <w:bottom w:val="none" w:sz="0" w:space="0" w:color="auto"/>
                    <w:right w:val="none" w:sz="0" w:space="0" w:color="auto"/>
                  </w:divBdr>
                  <w:divsChild>
                    <w:div w:id="14087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7275">
          <w:marLeft w:val="0"/>
          <w:marRight w:val="0"/>
          <w:marTop w:val="0"/>
          <w:marBottom w:val="0"/>
          <w:divBdr>
            <w:top w:val="none" w:sz="0" w:space="0" w:color="auto"/>
            <w:left w:val="none" w:sz="0" w:space="0" w:color="auto"/>
            <w:bottom w:val="none" w:sz="0" w:space="0" w:color="auto"/>
            <w:right w:val="none" w:sz="0" w:space="0" w:color="auto"/>
          </w:divBdr>
          <w:divsChild>
            <w:div w:id="534779533">
              <w:marLeft w:val="0"/>
              <w:marRight w:val="0"/>
              <w:marTop w:val="0"/>
              <w:marBottom w:val="0"/>
              <w:divBdr>
                <w:top w:val="none" w:sz="0" w:space="0" w:color="auto"/>
                <w:left w:val="none" w:sz="0" w:space="0" w:color="auto"/>
                <w:bottom w:val="none" w:sz="0" w:space="0" w:color="auto"/>
                <w:right w:val="none" w:sz="0" w:space="0" w:color="auto"/>
              </w:divBdr>
              <w:divsChild>
                <w:div w:id="1247768504">
                  <w:marLeft w:val="0"/>
                  <w:marRight w:val="0"/>
                  <w:marTop w:val="0"/>
                  <w:marBottom w:val="0"/>
                  <w:divBdr>
                    <w:top w:val="none" w:sz="0" w:space="0" w:color="auto"/>
                    <w:left w:val="none" w:sz="0" w:space="0" w:color="auto"/>
                    <w:bottom w:val="none" w:sz="0" w:space="0" w:color="auto"/>
                    <w:right w:val="none" w:sz="0" w:space="0" w:color="auto"/>
                  </w:divBdr>
                  <w:divsChild>
                    <w:div w:id="14304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SHRUTI WAGH</cp:lastModifiedBy>
  <cp:revision>23</cp:revision>
  <cp:lastPrinted>2022-09-20T16:52:00Z</cp:lastPrinted>
  <dcterms:created xsi:type="dcterms:W3CDTF">2023-08-18T04:22:00Z</dcterms:created>
  <dcterms:modified xsi:type="dcterms:W3CDTF">2024-10-29T16:18:00Z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