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Shruti Agarwal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AI-ASSISTED LEGAL WORKFLOWS — PORTFOLIO SUMMARY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18"/>
          <w:szCs w:val="18"/>
        </w:rPr>
        <w:t xml:space="preserve">Kolkata, India  |  shrutiagarwal.new@gmail.com  |  LinkedIn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A set of AI-assisted legal workflows built alongside my contracts, compliance, and litigation practice, designed to speed up first-pass review without displacing legal judgment. Each was tested against real public source material or clearly-labeled synthetic examples — see the note on methodology below.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1. Contract Risk Review &amp; Negotiation Playbook Generator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Designed a structured, precedent-grounded AI workflow to flag contract clauses that deviate from market-standard positions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Checklist covers indemnity, liability caps, termination, assignment, governing law, and buy-back pricing — the categories where founder/commercial disputes actually arise.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v2 grounds every flag against a curated reference-clause library (retrieval-style prompting) rather than the model's general knowledge, producing citation-style redlines.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Validated against the actual, current Y Combinator Post-Money SAFE template: correctly returned a “clean, no material issues” result — confirming the tool distinguishes well-drafted instruments rather than manufacturing findings.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Extended into a negotiation playbook format (opening ask, fallback positions, walk-away triggers) — the tool surfaces fallback options from precedent; counsel decides which to deploy.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2. AML/KYC Client Risk Review Assistant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Built a workflow to map UBO ownership chains and flag FATF-aligned red flags for first-pass CDD/EDD screening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Flags layered/offshore structures, undisclosed ownership tiers, PEP exposure, and nominee arrangements, with a recommended escalation step.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Tested only on synthetic ownership structures by design — real onboarding files require firm-approved data handling, not a general-purpose AI tool.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3. ESG Readiness &amp; Governance Gap Analyzer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Formalized an end-to-end ESG advisory engagement into a repeatable AI-assisted gap-analysis method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Benchmarks a company's disclosures against a 7-point checklist: governance, climate/environmental, social, materiality assessment, targets/KPIs, third-party assurance, and framework alignment (GRI/TCFD/SASB).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Extends real ESG advisory work delivered at Corporate Advisory Group (Dubai, ADGM) into a reusable methodology.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Validated against Abu Dhabi Islamic Bank’s real public ESG overview page: correctly flagged that a landing page cannot be assessed as a complete disclosure, rather than overstating gaps from limited material.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4. Judgment Summarizer &amp; Argument Note Builder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Standardized judgment summaries for hearings and client conferences using a structured AI prompting method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Explicitly separates ratio decidendi from obiter dicta — the detail most likely to be tested by a litigation interviewer.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Validated against a real, current Calcutta High Court judgment (M/S. Jindal (India) Ltd vs. State of West Bengal, July 2025) — fully verifiable against the public record on Indian Kanoon.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Extended into an argument-note builder that organizes multiple briefs and anticipates counter-arguments for a hearing — it structures precedent, counsel decides strategy.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Phase 2 Roadmap (Scoped, Not Yet Built)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Board Resolution &amp; Governance Document Generator; Shareholders’ Agreement Clause Comparator; Sanctions &amp; Adverse Media Triage Dashboard; Writ Petition Research &amp; Case Strategy Assistant. The latter two are deliberately deferred pending explicit guardrails around unlicensed-data risk and the line between research support and legal-judgment displacement — documented in full on request.</w:t>
      </w:r>
    </w:p>
    <w:p>
      <w:pPr>
        <w:pBdr>
          <w:bottom w:val="single" w:color="1F3864" w:sz="8" w:space="2"/>
        </w:pBdr>
        <w:spacing w:after="80" w:before="200"/>
      </w:pPr>
      <w:r>
        <w:rPr>
          <w:rFonts w:ascii="Calibri" w:cs="Calibri" w:eastAsia="Calibri" w:hAnsi="Calibri"/>
          <w:b/>
          <w:bCs/>
          <w:caps/>
          <w:color w:val="1F3864"/>
          <w:spacing w:val="20"/>
          <w:sz w:val="22"/>
          <w:szCs w:val="22"/>
        </w:rPr>
        <w:t xml:space="preserve">Methodology Note</w:t>
      </w:r>
    </w:p>
    <w:p>
      <w:pPr>
        <w:spacing w:after="8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These are prompting workflows built on general-purpose LLMs (Claude/ChatGPT), not fine-tuned models. Three of the four are validated against real public documents (a live court judgment, the current YC SAFE template, and a real bank’s public ESG page); the AML/KYC example uses clearly-labeled synthetic data by design, since real onboarding files require firm-approved data handling, not a general-purpose AI tool. Full prompts, sample inputs, and outputs are available on request.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dtzojssjw_x_ygs6h_wyl" Type="http://schemas.openxmlformats.org/officeDocument/2006/relationships/hyperlink" Target="mailto:shrutiagarwal.new@gmail.com" TargetMode="External"/><Relationship Id="rIdejjlqr-5xlyqcul6mvj8e" Type="http://schemas.openxmlformats.org/officeDocument/2006/relationships/hyperlink" Target="https://www.linkedin.com/in/shruti-agarwal-6b8599223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2026-06-26T16:22:35.020Z</dcterms:created>
  <dcterms:modified xsi:type="dcterms:W3CDTF">2026-06-26T16:22:35.020Z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