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5b7f25b476b451f72f0178c386f306338590424"/>
    <w:p>
      <w:pPr>
        <w:pStyle w:val="Heading1"/>
      </w:pPr>
      <w:r>
        <w:t xml:space="preserve">Five chapters explain North America's stubborn provincialism</w:t>
      </w:r>
    </w:p>
    <w:p>
      <w:pPr>
        <w:pStyle w:val="FirstParagraph"/>
      </w:pPr>
      <w:r>
        <w:t xml:space="preserve">Chapter 1 showed that North American large mammals stayed provincial through the Plio-Pleistocene. Multisite βSIM rose from 0.76 to 0.92 and then fell only to 0.59, and no change between adjacent bins survives Holm correction. That result is the opposite of East Africa's strong homogenization. It is a strong foundation, because it turns the dissertation from "did homogenization happen?" into "why did a continent with a land-bridge interchange, glacial cycles and grassland expansion resist it, and what did that resistance cost?" The literature review supports five follow-on chapters that appear to be open. Ranked by novelty and feasibility together, they are:</w:t>
      </w:r>
    </w:p>
    <w:p>
      <w:pPr>
        <w:numPr>
          <w:ilvl w:val="0"/>
          <w:numId w:val="1001"/>
        </w:numPr>
        <w:pStyle w:val="Compact"/>
      </w:pPr>
      <w:r>
        <w:rPr>
          <w:bCs/>
          <w:b/>
        </w:rPr>
        <w:t xml:space="preserve">Immigrants (GABI and Beringian) as agents of differentiation or homogenization.</w:t>
      </w:r>
      <w:r>
        <w:t xml:space="preserve"> </w:t>
      </w:r>
      <w:r>
        <w:t xml:space="preserve">This is the best opening move: it uses the same data, has a direct Florida Museum advantage, and is sharply framed by Tseng et al. 2026.</w:t>
      </w:r>
    </w:p>
    <w:p>
      <w:pPr>
        <w:numPr>
          <w:ilvl w:val="0"/>
          <w:numId w:val="1001"/>
        </w:numPr>
        <w:pStyle w:val="Compact"/>
      </w:pPr>
      <w:r>
        <w:rPr>
          <w:bCs/>
          <w:b/>
        </w:rPr>
        <w:t xml:space="preserve">Endemism and provincial occupancy as predictors of extinction across several Pleistocene pulses.</w:t>
      </w:r>
      <w:r>
        <w:t xml:space="preserve"> </w:t>
      </w:r>
      <w:r>
        <w:t xml:space="preserve">This is the strongest fit with Dr. Jukar.</w:t>
      </w:r>
    </w:p>
    <w:p>
      <w:pPr>
        <w:numPr>
          <w:ilvl w:val="0"/>
          <w:numId w:val="1001"/>
        </w:numPr>
        <w:pStyle w:val="Compact"/>
      </w:pPr>
      <w:r>
        <w:rPr>
          <w:bCs/>
          <w:b/>
        </w:rPr>
        <w:t xml:space="preserve">Functional and phylogenetic multisite β in the Rowan framework.</w:t>
      </w:r>
      <w:r>
        <w:t xml:space="preserve"> </w:t>
      </w:r>
      <w:r>
        <w:t xml:space="preserve">Phylogenetic β of fossil mammal assemblages was not found anywhere.</w:t>
      </w:r>
    </w:p>
    <w:p>
      <w:pPr>
        <w:numPr>
          <w:ilvl w:val="0"/>
          <w:numId w:val="1001"/>
        </w:numPr>
        <w:pStyle w:val="Compact"/>
      </w:pPr>
      <w:r>
        <w:rPr>
          <w:bCs/>
          <w:b/>
        </w:rPr>
        <w:t xml:space="preserve">Explicit climate, topography and barrier drivers (GDM), data-derived bioregions, and age- and space-uncertainty propagation.</w:t>
      </w:r>
    </w:p>
    <w:p>
      <w:pPr>
        <w:numPr>
          <w:ilvl w:val="0"/>
          <w:numId w:val="1001"/>
        </w:numPr>
        <w:pStyle w:val="Compact"/>
      </w:pPr>
      <w:r>
        <w:rPr>
          <w:bCs/>
          <w:b/>
        </w:rPr>
        <w:t xml:space="preserve">A capstone that puts North America beside East Africa and the modern fauna</w:t>
      </w:r>
      <w:r>
        <w:t xml:space="preserve">, as a "natural range of variability" baseline for conservation.</w:t>
      </w:r>
    </w:p>
    <w:p>
      <w:pPr>
        <w:pStyle w:val="FirstParagraph"/>
      </w:pPr>
      <w:r>
        <w:t xml:space="preserve">Every "open" claim below means "not found in our searches," not "never done." The largest overlaps to clear before writing are Shupinski's 2024 dissertation Chapter 2, Tseng et al. 2026, Shupinski et al. 2025, Brook et al. 2025, and Lyons et al. 2010. The concrete checks are listed in the final sections.</w:t>
      </w:r>
    </w:p>
    <w:bookmarkStart w:id="25" w:name="Xfc15334967b64f90ece6ba7945d22434838a72b"/>
    <w:p>
      <w:pPr>
        <w:pStyle w:val="Heading2"/>
      </w:pPr>
      <w:r>
        <w:t xml:space="preserve">Chapter 1 set up a question that the literature leaves unanswered</w:t>
      </w:r>
    </w:p>
    <w:p>
      <w:pPr>
        <w:pStyle w:val="FirstParagraph"/>
      </w:pPr>
      <w:r>
        <w:t xml:space="preserve">The template study gives the contrast its force. Rowan et al. 2024 used the same design: multisite βSIM for mammals over 1 kg across three subregions, partitioned by diet, size, and endemic versus shared species. They found East African Rift faunas falling from βSIM of about 0.68–0.77 before 3.5 Ma to about 0.25. The drivers were the loss of endemic browsers, frugivores and taxa over 1,000 kg, plus the spread of shared grazers as C4 grasslands expanded (</w:t>
      </w:r>
      <w:hyperlink r:id="rId20">
        <w:r>
          <w:rPr>
            <w:rStyle w:val="Hyperlink"/>
          </w:rPr>
          <w:t xml:space="preserve">Rowan et al. 2024</w:t>
        </w:r>
      </w:hyperlink>
      <w:r>
        <w:t xml:space="preserve">).</w:t>
      </w:r>
    </w:p>
    <w:p>
      <w:pPr>
        <w:pStyle w:val="BodyText"/>
      </w:pPr>
      <w:r>
        <w:t xml:space="preserve">North America's early Pleistocene peak (0.92) is higher than East Africa's most provincial Pliocene values. Grazers carry about 0.40 of βSIM in Bin 2, so the same functional group that homogenized Africa</w:t>
      </w:r>
      <w:r>
        <w:t xml:space="preserve"> </w:t>
      </w:r>
      <w:r>
        <w:rPr>
          <w:iCs/>
          <w:i/>
        </w:rPr>
        <w:t xml:space="preserve">differentiated</w:t>
      </w:r>
      <w:r>
        <w:t xml:space="preserve"> </w:t>
      </w:r>
      <w:r>
        <w:t xml:space="preserve">North America. That inversion is the hook for the whole dissertation.</w:t>
      </w:r>
    </w:p>
    <w:p>
      <w:pPr>
        <w:pStyle w:val="BodyText"/>
      </w:pPr>
      <w:r>
        <w:t xml:space="preserve">The surrounding literature sits at the wrong grain to explain it:</w:t>
      </w:r>
    </w:p>
    <w:p>
      <w:pPr>
        <w:numPr>
          <w:ilvl w:val="0"/>
          <w:numId w:val="1002"/>
        </w:numPr>
        <w:pStyle w:val="Compact"/>
      </w:pPr>
      <w:r>
        <w:rPr>
          <w:bCs/>
          <w:b/>
        </w:rPr>
        <w:t xml:space="preserve">Late Quaternary only.</w:t>
      </w:r>
      <w:r>
        <w:t xml:space="preserve"> </w:t>
      </w:r>
      <w:r>
        <w:t xml:space="preserve">Fraser et al. 2022 (co-authored by Dr. Jukar) found North American Jaccard similarity rising by more than 100% from about 10 ka. Large mammals homogenized first, but the baseline reaches back only 30 kyr (</w:t>
      </w:r>
      <w:hyperlink r:id="rId21">
        <w:r>
          <w:rPr>
            <w:rStyle w:val="Hyperlink"/>
          </w:rPr>
          <w:t xml:space="preserve">Fraser et al. 2022</w:t>
        </w:r>
      </w:hyperlink>
      <w:r>
        <w:t xml:space="preserve">).</w:t>
      </w:r>
    </w:p>
    <w:p>
      <w:pPr>
        <w:numPr>
          <w:ilvl w:val="0"/>
          <w:numId w:val="1002"/>
        </w:numPr>
        <w:pStyle w:val="Compact"/>
      </w:pPr>
      <w:r>
        <w:rPr>
          <w:bCs/>
          <w:b/>
        </w:rPr>
        <w:t xml:space="preserve">Coarse NALMA bins.</w:t>
      </w:r>
      <w:r>
        <w:t xml:space="preserve"> </w:t>
      </w:r>
      <w:r>
        <w:t xml:space="preserve">Fraser et al. 2014 linked Cenozoic North American β to mean annual precipitation, with a hump at about 450 mm/yr. They also found a 60–70% Pliocene drop in latitudinal turnover, but in NALMA-scale bins (</w:t>
      </w:r>
      <w:hyperlink r:id="rId22">
        <w:r>
          <w:rPr>
            <w:rStyle w:val="Hyperlink"/>
          </w:rPr>
          <w:t xml:space="preserve">Fraser et al. 2014</w:t>
        </w:r>
      </w:hyperlink>
      <w:r>
        <w:t xml:space="preserve">).</w:t>
      </w:r>
    </w:p>
    <w:p>
      <w:pPr>
        <w:numPr>
          <w:ilvl w:val="0"/>
          <w:numId w:val="1002"/>
        </w:numPr>
        <w:pStyle w:val="Compact"/>
      </w:pPr>
      <w:r>
        <w:rPr>
          <w:bCs/>
          <w:b/>
        </w:rPr>
        <w:t xml:space="preserve">Two provinces only.</w:t>
      </w:r>
      <w:r>
        <w:t xml:space="preserve"> </w:t>
      </w:r>
      <w:r>
        <w:t xml:space="preserve">Atwater &amp; Davis 2011 attributed higher Great Basin than Great Plains β to tectonics, using only two provinces and a qualitative attribution (</w:t>
      </w:r>
      <w:hyperlink r:id="rId23">
        <w:r>
          <w:rPr>
            <w:rStyle w:val="Hyperlink"/>
          </w:rPr>
          <w:t xml:space="preserve">Atwater &amp; Davis 2011</w:t>
        </w:r>
      </w:hyperlink>
      <w:r>
        <w:t xml:space="preserve">).</w:t>
      </w:r>
    </w:p>
    <w:p>
      <w:pPr>
        <w:pStyle w:val="FirstParagraph"/>
      </w:pPr>
      <w:r>
        <w:t xml:space="preserve">The 3.3–0.01 Ma window, at sub-NALMA resolution, across several provinces, with explicit mechanism tests, is where the gap lives.</w:t>
      </w:r>
    </w:p>
    <w:p>
      <w:pPr>
        <w:pStyle w:val="BodyText"/>
      </w:pPr>
      <w:r>
        <w:t xml:space="preserve">Two features of Chapter 1 shape every follow-on.</w:t>
      </w:r>
    </w:p>
    <w:p>
      <w:pPr>
        <w:pStyle w:val="BodyText"/>
      </w:pPr>
      <w:r>
        <w:rPr>
          <w:bCs/>
          <w:b/>
        </w:rPr>
        <w:t xml:space="preserve">The non-significance needs a power and uncertainty treatment.</w:t>
      </w:r>
      <w:r>
        <w:t xml:space="preserve"> </w:t>
      </w:r>
      <w:r>
        <w:t xml:space="preserve">A reviewer will ask whether p = 0.054 for Bin 4→5 reflects no change or too little data. No North American study was found that propagates locality age uncertainty into β, or combines spatial standardization with coverage control. Antell et al. 2024 argue explicitly that rarefaction alone is insufficient for PBDB-type data (</w:t>
      </w:r>
      <w:hyperlink r:id="rId24">
        <w:r>
          <w:rPr>
            <w:rStyle w:val="Hyperlink"/>
          </w:rPr>
          <w:t xml:space="preserve">Antell et al. 2024</w:t>
        </w:r>
      </w:hyperlink>
      <w:r>
        <w:t xml:space="preserve">).</w:t>
      </w:r>
    </w:p>
    <w:p>
      <w:pPr>
        <w:pStyle w:val="BodyText"/>
      </w:pPr>
      <w:r>
        <w:rPr>
          <w:bCs/>
          <w:b/>
        </w:rPr>
        <w:t xml:space="preserve">Chapter 1's partitions already name suspects.</w:t>
      </w:r>
      <w:r>
        <w:t xml:space="preserve"> </w:t>
      </w:r>
      <w:r>
        <w:t xml:space="preserve">These are grazers, 80–350 kg and over 1,000 kg herbivores, endemic loss, and shared grazer and mixed-feeder spread. Each chapter below turns one suspect into a test.</w:t>
      </w:r>
    </w:p>
    <w:bookmarkEnd w:id="25"/>
    <w:bookmarkStart w:id="67" w:name="Xc8d17c6775324bcff2715b2b2c5c062315e90e5"/>
    <w:p>
      <w:pPr>
        <w:pStyle w:val="Heading2"/>
      </w:pPr>
      <w:r>
        <w:t xml:space="preserve">Five chapters, ranked by novelty and feasibility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Chapter</w:t>
            </w:r>
          </w:p>
        </w:tc>
        <w:tc>
          <w:tcPr/>
          <w:p>
            <w:pPr>
              <w:pStyle w:val="Compact"/>
              <w:jc w:val="left"/>
            </w:pPr>
            <w:r>
              <w:t xml:space="preserve">Closest existing work</w:t>
            </w:r>
          </w:p>
        </w:tc>
        <w:tc>
          <w:tcPr/>
          <w:p>
            <w:pPr>
              <w:pStyle w:val="Compact"/>
              <w:jc w:val="left"/>
            </w:pPr>
            <w:r>
              <w:t xml:space="preserve">Overlap</w:t>
            </w:r>
          </w:p>
        </w:tc>
        <w:tc>
          <w:tcPr/>
          <w:p>
            <w:pPr>
              <w:pStyle w:val="Compact"/>
              <w:jc w:val="left"/>
            </w:pPr>
            <w:r>
              <w:t xml:space="preserve">Feasibility</w:t>
            </w:r>
          </w:p>
        </w:tc>
        <w:tc>
          <w:tcPr/>
          <w:p>
            <w:pPr>
              <w:pStyle w:val="Compact"/>
              <w:jc w:val="left"/>
            </w:pPr>
            <w:r>
              <w:t xml:space="preserve">Advisor/institution fit</w:t>
            </w:r>
          </w:p>
        </w:tc>
      </w:tr>
      <w:tr>
        <w:tc>
          <w:tcPr/>
          <w:p>
            <w:pPr>
              <w:pStyle w:val="Compact"/>
              <w:jc w:val="left"/>
            </w:pPr>
            <w:r>
              <w:t xml:space="preserve">1 (Ch. 2)</w:t>
            </w:r>
          </w:p>
        </w:tc>
        <w:tc>
          <w:tcPr/>
          <w:p>
            <w:pPr>
              <w:pStyle w:val="Compact"/>
              <w:jc w:val="left"/>
            </w:pPr>
            <w:r>
              <w:t xml:space="preserve">Immigrants as differentiators or homogenizers</w:t>
            </w:r>
          </w:p>
        </w:tc>
        <w:tc>
          <w:tcPr/>
          <w:p>
            <w:pPr>
              <w:pStyle w:val="Compact"/>
              <w:jc w:val="left"/>
            </w:pPr>
            <w:r>
              <w:t xml:space="preserve">Tseng et al. 2026; Shupinski et al. 2025; Darroch et al. 2014 (Paleogene template); Morgan 2005 (qualitative)</w:t>
            </w:r>
          </w:p>
        </w:tc>
        <w:tc>
          <w:tcPr/>
          <w:p>
            <w:pPr>
              <w:pStyle w:val="Compact"/>
              <w:jc w:val="left"/>
            </w:pPr>
            <w:r>
              <w:t xml:space="preserve">Partial: continental-block timing and co-occurrence done; within-NA occupancy and origin-partitioned β not found</w:t>
            </w:r>
          </w:p>
        </w:tc>
        <w:tc>
          <w:tcPr/>
          <w:p>
            <w:pPr>
              <w:pStyle w:val="Compact"/>
              <w:jc w:val="left"/>
            </w:pPr>
            <w:r>
              <w:t xml:space="preserve">High (same matrix plus origin coding)</w:t>
            </w:r>
          </w:p>
        </w:tc>
        <w:tc>
          <w:tcPr/>
          <w:p>
            <w:pPr>
              <w:pStyle w:val="Compact"/>
              <w:jc w:val="left"/>
            </w:pPr>
            <w:r>
              <w:t xml:space="preserve">Very high: FLMNH collections; Florida as the GABI gateway</w:t>
            </w:r>
          </w:p>
        </w:tc>
      </w:tr>
      <w:tr>
        <w:tc>
          <w:tcPr/>
          <w:p>
            <w:pPr>
              <w:pStyle w:val="Compact"/>
              <w:jc w:val="left"/>
            </w:pPr>
            <w:r>
              <w:t xml:space="preserve">2 (Ch. 3)</w:t>
            </w:r>
          </w:p>
        </w:tc>
        <w:tc>
          <w:tcPr/>
          <w:p>
            <w:pPr>
              <w:pStyle w:val="Compact"/>
              <w:jc w:val="left"/>
            </w:pPr>
            <w:r>
              <w:t xml:space="preserve">Endemism and occupancy as extinction predictors across pulses</w:t>
            </w:r>
          </w:p>
        </w:tc>
        <w:tc>
          <w:tcPr/>
          <w:p>
            <w:pPr>
              <w:pStyle w:val="Compact"/>
              <w:jc w:val="left"/>
            </w:pPr>
            <w:r>
              <w:t xml:space="preserve">Lyons et al. 2010; Tóth et al. 2019; Balk et al. 2025 (unread)</w:t>
            </w:r>
          </w:p>
        </w:tc>
        <w:tc>
          <w:tcPr/>
          <w:p>
            <w:pPr>
              <w:pStyle w:val="Compact"/>
              <w:jc w:val="left"/>
            </w:pPr>
            <w:r>
              <w:t xml:space="preserve">Partial and low: late-Pleistocene range shifts only; multi-pulse tests not found</w:t>
            </w:r>
          </w:p>
        </w:tc>
        <w:tc>
          <w:tcPr/>
          <w:p>
            <w:pPr>
              <w:pStyle w:val="Compact"/>
              <w:jc w:val="left"/>
            </w:pPr>
            <w:r>
              <w:t xml:space="preserve">High</w:t>
            </w:r>
          </w:p>
        </w:tc>
        <w:tc>
          <w:tcPr/>
          <w:p>
            <w:pPr>
              <w:pStyle w:val="Compact"/>
              <w:jc w:val="left"/>
            </w:pPr>
            <w:r>
              <w:t xml:space="preserve">Very high: megafaunal extinction, body size, proboscideans</w:t>
            </w:r>
          </w:p>
        </w:tc>
      </w:tr>
      <w:tr>
        <w:tc>
          <w:tcPr/>
          <w:p>
            <w:pPr>
              <w:pStyle w:val="Compact"/>
              <w:jc w:val="left"/>
            </w:pPr>
            <w:r>
              <w:t xml:space="preserve">3 (Ch. 4)</w:t>
            </w:r>
          </w:p>
        </w:tc>
        <w:tc>
          <w:tcPr/>
          <w:p>
            <w:pPr>
              <w:pStyle w:val="Compact"/>
              <w:jc w:val="left"/>
            </w:pPr>
            <w:r>
              <w:t xml:space="preserve">Functional and phylogenetic multisite β</w:t>
            </w:r>
          </w:p>
        </w:tc>
        <w:tc>
          <w:tcPr/>
          <w:p>
            <w:pPr>
              <w:pStyle w:val="Compact"/>
              <w:jc w:val="left"/>
            </w:pPr>
            <w:r>
              <w:t xml:space="preserve">Shupinski 2024 dissertation Ch. 2; Blanco et al. 2025; Shupinski et al. 2025</w:t>
            </w:r>
          </w:p>
        </w:tc>
        <w:tc>
          <w:tcPr/>
          <w:p>
            <w:pPr>
              <w:pStyle w:val="Compact"/>
              <w:jc w:val="left"/>
            </w:pPr>
            <w:r>
              <w:t xml:space="preserve">Partial for functional (5-Myr slices only); phylogenetic not found</w:t>
            </w:r>
          </w:p>
        </w:tc>
        <w:tc>
          <w:tcPr/>
          <w:p>
            <w:pPr>
              <w:pStyle w:val="Compact"/>
              <w:jc w:val="left"/>
            </w:pPr>
            <w:r>
              <w:t xml:space="preserve">Moderate (trait compilation; composite tree is the main risk)</w:t>
            </w:r>
          </w:p>
        </w:tc>
        <w:tc>
          <w:tcPr/>
          <w:p>
            <w:pPr>
              <w:pStyle w:val="Compact"/>
              <w:jc w:val="left"/>
            </w:pPr>
            <w:r>
              <w:t xml:space="preserve">High: body-size and trait expertise</w:t>
            </w:r>
          </w:p>
        </w:tc>
      </w:tr>
      <w:tr>
        <w:tc>
          <w:tcPr/>
          <w:p>
            <w:pPr>
              <w:pStyle w:val="Compact"/>
              <w:jc w:val="left"/>
            </w:pPr>
            <w:r>
              <w:t xml:space="preserve">4 (Ch. 5)</w:t>
            </w:r>
          </w:p>
        </w:tc>
        <w:tc>
          <w:tcPr/>
          <w:p>
            <w:pPr>
              <w:pStyle w:val="Compact"/>
              <w:jc w:val="left"/>
            </w:pPr>
            <w:r>
              <w:t xml:space="preserve">Drivers (GDM), data-derived bioregions, uncertainty propagation</w:t>
            </w:r>
          </w:p>
        </w:tc>
        <w:tc>
          <w:tcPr/>
          <w:p>
            <w:pPr>
              <w:pStyle w:val="Compact"/>
              <w:jc w:val="left"/>
            </w:pPr>
            <w:r>
              <w:t xml:space="preserve">Atwater &amp; Davis 2011; Fraser et al. 2014; Brook et al. 2025; Old World framework (Gibert et al.)</w:t>
            </w:r>
          </w:p>
        </w:tc>
        <w:tc>
          <w:tcPr/>
          <w:p>
            <w:pPr>
              <w:pStyle w:val="Compact"/>
              <w:jc w:val="left"/>
            </w:pPr>
            <w:r>
              <w:t xml:space="preserve">None found for GDM; partial for bioregionalization</w:t>
            </w:r>
          </w:p>
        </w:tc>
        <w:tc>
          <w:tcPr/>
          <w:p>
            <w:pPr>
              <w:pStyle w:val="Compact"/>
              <w:jc w:val="left"/>
            </w:pPr>
            <w:r>
              <w:t xml:space="preserve">Moderate (site-level climate extraction; many sites needed)</w:t>
            </w:r>
          </w:p>
        </w:tc>
        <w:tc>
          <w:tcPr/>
          <w:p>
            <w:pPr>
              <w:pStyle w:val="Compact"/>
              <w:jc w:val="left"/>
            </w:pPr>
            <w:r>
              <w:t xml:space="preserve">Moderate</w:t>
            </w:r>
          </w:p>
        </w:tc>
      </w:tr>
      <w:tr>
        <w:tc>
          <w:tcPr/>
          <w:p>
            <w:pPr>
              <w:pStyle w:val="Compact"/>
              <w:jc w:val="left"/>
            </w:pPr>
            <w:r>
              <w:t xml:space="preserve">5 (Ch. 6)</w:t>
            </w:r>
          </w:p>
        </w:tc>
        <w:tc>
          <w:tcPr/>
          <w:p>
            <w:pPr>
              <w:pStyle w:val="Compact"/>
              <w:jc w:val="left"/>
            </w:pPr>
            <w:r>
              <w:t xml:space="preserve">Capstone: North America vs East Africa and the modern baseline</w:t>
            </w:r>
          </w:p>
        </w:tc>
        <w:tc>
          <w:tcPr/>
          <w:p>
            <w:pPr>
              <w:pStyle w:val="Compact"/>
              <w:jc w:val="left"/>
            </w:pPr>
            <w:r>
              <w:t xml:space="preserve">Rowan et al. 2024; Fraser et al. 2022; Blanco et al. 2025</w:t>
            </w:r>
          </w:p>
        </w:tc>
        <w:tc>
          <w:tcPr/>
          <w:p>
            <w:pPr>
              <w:pStyle w:val="Compact"/>
              <w:jc w:val="left"/>
            </w:pPr>
            <w:r>
              <w:t xml:space="preserve">Not found as a matched comparison or Plio-Pleistocene baseline</w:t>
            </w:r>
          </w:p>
        </w:tc>
        <w:tc>
          <w:tcPr/>
          <w:p>
            <w:pPr>
              <w:pStyle w:val="Compact"/>
              <w:jc w:val="left"/>
            </w:pPr>
            <w:r>
              <w:t xml:space="preserve">Moderate (depends on data sharing with the Rowan group)</w:t>
            </w:r>
          </w:p>
        </w:tc>
        <w:tc>
          <w:tcPr/>
          <w:p>
            <w:pPr>
              <w:pStyle w:val="Compact"/>
              <w:jc w:val="left"/>
            </w:pPr>
            <w:r>
              <w:t xml:space="preserve">High: Jukar co-authored Fraser et al. 2022</w:t>
            </w:r>
          </w:p>
        </w:tc>
      </w:tr>
    </w:tbl>
    <w:bookmarkStart w:id="34" w:name="X6091f3afda5dca8201cae815ebd8cd3e2883370"/>
    <w:p>
      <w:pPr>
        <w:pStyle w:val="Heading3"/>
      </w:pPr>
      <w:r>
        <w:t xml:space="preserve">Chapter 2: Did immigrants build provinces rather than erase them?</w:t>
      </w:r>
    </w:p>
    <w:p>
      <w:pPr>
        <w:pStyle w:val="FirstParagraph"/>
      </w:pPr>
      <w:r>
        <w:rPr>
          <w:bCs/>
          <w:b/>
        </w:rPr>
        <w:t xml:space="preserve">The gap and why it appears open.</w:t>
      </w:r>
      <w:r>
        <w:t xml:space="preserve"> </w:t>
      </w:r>
      <w:r>
        <w:t xml:space="preserve">Two invasion models make opposite predictions:</w:t>
      </w:r>
    </w:p>
    <w:p>
      <w:pPr>
        <w:numPr>
          <w:ilvl w:val="0"/>
          <w:numId w:val="1003"/>
        </w:numPr>
        <w:pStyle w:val="Compact"/>
      </w:pPr>
      <w:r>
        <w:rPr>
          <w:bCs/>
          <w:b/>
        </w:rPr>
        <w:t xml:space="preserve">Stigall's model.</w:t>
      </w:r>
      <w:r>
        <w:t xml:space="preserve"> </w:t>
      </w:r>
      <w:r>
        <w:t xml:space="preserve">Invasions favour cosmopolitan generalists and collapse vicariant speciation. Her test case was the Late Devonian, where sea-level-driven interbasinal invasions selectively removed specialists (</w:t>
      </w:r>
      <w:hyperlink r:id="rId26">
        <w:r>
          <w:rPr>
            <w:rStyle w:val="Hyperlink"/>
          </w:rPr>
          <w:t xml:space="preserve">Stigall 2012</w:t>
        </w:r>
      </w:hyperlink>
      <w:r>
        <w:t xml:space="preserve">).</w:t>
      </w:r>
    </w:p>
    <w:p>
      <w:pPr>
        <w:numPr>
          <w:ilvl w:val="0"/>
          <w:numId w:val="1003"/>
        </w:numPr>
        <w:pStyle w:val="Compact"/>
      </w:pPr>
      <w:r>
        <w:rPr>
          <w:bCs/>
          <w:b/>
        </w:rPr>
        <w:t xml:space="preserve">Darroch et al.'s finding.</w:t>
      </w:r>
      <w:r>
        <w:t xml:space="preserve"> </w:t>
      </w:r>
      <w:r>
        <w:t xml:space="preserve">In Paleocene–Eocene North American ungulates, immigrant and secondarily endemic taxa had</w:t>
      </w:r>
      <w:r>
        <w:t xml:space="preserve"> </w:t>
      </w:r>
      <w:r>
        <w:rPr>
          <w:iCs/>
          <w:i/>
        </w:rPr>
        <w:t xml:space="preserve">smaller</w:t>
      </w:r>
      <w:r>
        <w:t xml:space="preserve"> </w:t>
      </w:r>
      <w:r>
        <w:t xml:space="preserve">geographic ranges, which raised β diversity (</w:t>
      </w:r>
      <w:hyperlink r:id="rId27">
        <w:r>
          <w:rPr>
            <w:rStyle w:val="Hyperlink"/>
          </w:rPr>
          <w:t xml:space="preserve">Darroch et al. 2014</w:t>
        </w:r>
      </w:hyperlink>
      <w:r>
        <w:t xml:space="preserve">).</w:t>
      </w:r>
    </w:p>
    <w:p>
      <w:pPr>
        <w:pStyle w:val="FirstParagraph"/>
      </w:pPr>
      <w:r>
        <w:t xml:space="preserve">No Neogene–Quaternary North American study was found that partitions β by immigrant versus native taxa, measures immigrant range occupancy relative to natives, or uses between-province first-appearance lags as a barrier metric.</w:t>
      </w:r>
    </w:p>
    <w:p>
      <w:pPr>
        <w:pStyle w:val="BodyText"/>
      </w:pPr>
      <w:r>
        <w:t xml:space="preserve">The closest new work has a different spatial frame. Tseng et al. 2026 measured shared genera and diversification among only three macro-blocks (US/Canada, México, South America) over 12 Myr. They proposed a Mexican "holding pen" from about 10 Ma, a lag phase from 7–3 Ma, and classic pulses from about 2.8 Ma. US/Canada is a single unit in that study, and it reports no β indices (</w:t>
      </w:r>
      <w:hyperlink r:id="rId28">
        <w:r>
          <w:rPr>
            <w:rStyle w:val="Hyperlink"/>
          </w:rPr>
          <w:t xml:space="preserve">Tseng et al. 2026</w:t>
        </w:r>
      </w:hyperlink>
      <w:r>
        <w:t xml:space="preserve">).</w:t>
      </w:r>
    </w:p>
    <w:p>
      <w:pPr>
        <w:pStyle w:val="BodyText"/>
      </w:pPr>
      <w:r>
        <w:t xml:space="preserve">Shupinski et al. 2025 showed that South American immigrants slotted into western co-occurrence structure, with North America–South America pairs rising from 37 to 63. That study has no provinces and no β metric, and its eastern data were limited (</w:t>
      </w:r>
      <w:hyperlink r:id="rId29">
        <w:r>
          <w:rPr>
            <w:rStyle w:val="Hyperlink"/>
          </w:rPr>
          <w:t xml:space="preserve">Shupinski et al. 2025</w:t>
        </w:r>
      </w:hyperlink>
      <w:r>
        <w:t xml:space="preserve">).</w:t>
      </w:r>
    </w:p>
    <w:p>
      <w:pPr>
        <w:pStyle w:val="BodyText"/>
      </w:pPr>
      <w:r>
        <w:t xml:space="preserve">Overlap is therefore partial. The within-North America, province-resolved question is unclaimed in our searches.</w:t>
      </w:r>
    </w:p>
    <w:p>
      <w:pPr>
        <w:pStyle w:val="BodyText"/>
      </w:pPr>
      <w:r>
        <w:rPr>
          <w:bCs/>
          <w:b/>
        </w:rPr>
        <w:t xml:space="preserve">Core question and predictions.</w:t>
      </w:r>
      <w:r>
        <w:t xml:space="preserve"> </w:t>
      </w:r>
      <w:r>
        <w:t xml:space="preserve">Did South American and Beringian immigrants raise or lower multisite βSIM among the three provinces, and through what range dynamics? The timing fits Chapter 1 closely.</w:t>
      </w:r>
    </w:p>
    <w:p>
      <w:pPr>
        <w:pStyle w:val="BodyText"/>
      </w:pPr>
      <w:r>
        <w:t xml:space="preserve">Morgan's synthesis places the second GABI pulse at 2.7–1.5 Ma, which overlaps Bin 2 (2.50–1.75 Ma) and the rise to the provincial peak. Morgan states that</w:t>
      </w:r>
      <w:r>
        <w:t xml:space="preserve"> </w:t>
      </w:r>
      <w:r>
        <w:rPr>
          <w:iCs/>
          <w:i/>
        </w:rPr>
        <w:t xml:space="preserve">Dasypus</w:t>
      </w:r>
      <w:r>
        <w:t xml:space="preserve">,</w:t>
      </w:r>
      <w:r>
        <w:t xml:space="preserve"> </w:t>
      </w:r>
      <w:r>
        <w:rPr>
          <w:iCs/>
          <w:i/>
        </w:rPr>
        <w:t xml:space="preserve">Pachyarmatherium</w:t>
      </w:r>
      <w:r>
        <w:t xml:space="preserve">,</w:t>
      </w:r>
      <w:r>
        <w:t xml:space="preserve"> </w:t>
      </w:r>
      <w:r>
        <w:rPr>
          <w:iCs/>
          <w:i/>
        </w:rPr>
        <w:t xml:space="preserve">Holmesina</w:t>
      </w:r>
      <w:r>
        <w:t xml:space="preserve">,</w:t>
      </w:r>
      <w:r>
        <w:t xml:space="preserve"> </w:t>
      </w:r>
      <w:r>
        <w:rPr>
          <w:iCs/>
          <w:i/>
        </w:rPr>
        <w:t xml:space="preserve">Eremotherium</w:t>
      </w:r>
      <w:r>
        <w:t xml:space="preserve"> </w:t>
      </w:r>
      <w:r>
        <w:t xml:space="preserve">and</w:t>
      </w:r>
      <w:r>
        <w:t xml:space="preserve"> </w:t>
      </w:r>
      <w:r>
        <w:rPr>
          <w:iCs/>
          <w:i/>
        </w:rPr>
        <w:t xml:space="preserve">Hydrochoerus</w:t>
      </w:r>
      <w:r>
        <w:t xml:space="preserve"> </w:t>
      </w:r>
      <w:r>
        <w:t xml:space="preserve">were "primarily restricted to Florida" in the late Blancan. In contrast,</w:t>
      </w:r>
      <w:r>
        <w:t xml:space="preserve"> </w:t>
      </w:r>
      <w:r>
        <w:rPr>
          <w:iCs/>
          <w:i/>
        </w:rPr>
        <w:t xml:space="preserve">Glyptotherium</w:t>
      </w:r>
      <w:r>
        <w:t xml:space="preserve">,</w:t>
      </w:r>
      <w:r>
        <w:t xml:space="preserve"> </w:t>
      </w:r>
      <w:r>
        <w:rPr>
          <w:iCs/>
          <w:i/>
        </w:rPr>
        <w:t xml:space="preserve">Glossotherium</w:t>
      </w:r>
      <w:r>
        <w:t xml:space="preserve">,</w:t>
      </w:r>
      <w:r>
        <w:t xml:space="preserve"> </w:t>
      </w:r>
      <w:r>
        <w:rPr>
          <w:iCs/>
          <w:i/>
        </w:rPr>
        <w:t xml:space="preserve">Erethizon</w:t>
      </w:r>
      <w:r>
        <w:t xml:space="preserve"> </w:t>
      </w:r>
      <w:r>
        <w:t xml:space="preserve">and</w:t>
      </w:r>
      <w:r>
        <w:t xml:space="preserve"> </w:t>
      </w:r>
      <w:r>
        <w:rPr>
          <w:iCs/>
          <w:i/>
        </w:rPr>
        <w:t xml:space="preserve">Neochoerus</w:t>
      </w:r>
      <w:r>
        <w:t xml:space="preserve"> </w:t>
      </w:r>
      <w:r>
        <w:t xml:space="preserve">reached both Florida and the western US (</w:t>
      </w:r>
      <w:hyperlink r:id="rId30">
        <w:r>
          <w:rPr>
            <w:rStyle w:val="Hyperlink"/>
          </w:rPr>
          <w:t xml:space="preserve">Morgan 2005</w:t>
        </w:r>
      </w:hyperlink>
      <w:r>
        <w:t xml:space="preserve">).</w:t>
      </w:r>
    </w:p>
    <w:p>
      <w:pPr>
        <w:pStyle w:val="BodyText"/>
      </w:pPr>
      <w:r>
        <w:rPr>
          <w:bCs/>
          <w:b/>
        </w:rPr>
        <w:t xml:space="preserve">H1 (Darroch).</w:t>
      </w:r>
      <w:r>
        <w:t xml:space="preserve"> </w:t>
      </w:r>
      <w:r>
        <w:t xml:space="preserve">Immigrants occupy fewer provinces than natives in their arrival bins, so dropping immigrants lowers βSIM in Bins 2–3. Because several Florida-restricted immigrants are grazers, part of the grazer share of Bin 2 βSIM (~0.40) should be immigrant-borne. Partitioning grazers by origin directly tests this prediction.</w:t>
      </w:r>
    </w:p>
    <w:p>
      <w:pPr>
        <w:pStyle w:val="BodyText"/>
      </w:pPr>
      <w:r>
        <w:rPr>
          <w:bCs/>
          <w:b/>
        </w:rPr>
        <w:t xml:space="preserve">H2 (Stigall).</w:t>
      </w:r>
      <w:r>
        <w:t xml:space="preserve"> </w:t>
      </w:r>
      <w:r>
        <w:t xml:space="preserve">Immigrants are more widespread than natives, so dropping them raises βSIM.</w:t>
      </w:r>
    </w:p>
    <w:p>
      <w:pPr>
        <w:pStyle w:val="BodyText"/>
      </w:pPr>
      <w:r>
        <w:rPr>
          <w:bCs/>
          <w:b/>
        </w:rPr>
        <w:t xml:space="preserve">H3 (late homogenizer).</w:t>
      </w:r>
      <w:r>
        <w:t xml:space="preserve"> </w:t>
      </w:r>
      <w:r>
        <w:t xml:space="preserve">The weak Bin 4→5 decline carries the signature of a late Beringian grazer. Bison's North American common ancestor dates to the MIS 6 lowstand (195–135 ka), and the lineage spread quickly across the continent (</w:t>
      </w:r>
      <w:hyperlink r:id="rId31">
        <w:r>
          <w:rPr>
            <w:rStyle w:val="Hyperlink"/>
          </w:rPr>
          <w:t xml:space="preserve">Froese et al. 2017</w:t>
        </w:r>
      </w:hyperlink>
      <w:r>
        <w:t xml:space="preserve">). Bison should therefore contribute disproportionately to the shared-grazer spread in Bin 5.</w:t>
      </w:r>
    </w:p>
    <w:p>
      <w:pPr>
        <w:pStyle w:val="BodyText"/>
      </w:pPr>
      <w:r>
        <w:rPr>
          <w:bCs/>
          <w:b/>
        </w:rPr>
        <w:t xml:space="preserve">H4 (diachrony as permeability).</w:t>
      </w:r>
      <w:r>
        <w:t xml:space="preserve"> </w:t>
      </w:r>
      <w:r>
        <w:t xml:space="preserve">First appearances are staggered across provinces in the direction of entry: Beringian taxa appear earlier in the West, and South American taxa earlier in the Gulf Coastal Plain. A long first-appearance-to-peak-occupancy lag in South American taxa would indicate a climate-limited subtropical front, not a dispersal barrier.</w:t>
      </w:r>
    </w:p>
    <w:p>
      <w:pPr>
        <w:pStyle w:val="BodyText"/>
      </w:pPr>
      <w:r>
        <w:t xml:space="preserve">Mammoth gives a clean calibration point. MacFadden &amp; Hulbert 2009 used rare-earth-element signatures to show that the claimed ~2.5 Ma Florida</w:t>
      </w:r>
      <w:r>
        <w:t xml:space="preserve"> </w:t>
      </w:r>
      <w:r>
        <w:rPr>
          <w:iCs/>
          <w:i/>
        </w:rPr>
        <w:t xml:space="preserve">Mammuthus</w:t>
      </w:r>
      <w:r>
        <w:t xml:space="preserve"> </w:t>
      </w:r>
      <w:r>
        <w:t xml:space="preserve">is reworked, which leaves ~1.4 Ma as the reliable first appearance (</w:t>
      </w:r>
      <w:hyperlink r:id="rId32">
        <w:r>
          <w:rPr>
            <w:rStyle w:val="Hyperlink"/>
          </w:rPr>
          <w:t xml:space="preserve">MacFadden &amp; Hulbert 2009</w:t>
        </w:r>
      </w:hyperlink>
      <w:r>
        <w:t xml:space="preserve">). That makes it a test of whether a Beringian immigrant spread synchronously within Bin 3.</w:t>
      </w:r>
    </w:p>
    <w:p>
      <w:pPr>
        <w:pStyle w:val="BodyText"/>
      </w:pPr>
      <w:r>
        <w:rPr>
          <w:bCs/>
          <w:b/>
        </w:rPr>
        <w:t xml:space="preserve">Data.</w:t>
      </w:r>
      <w:r>
        <w:t xml:space="preserve"> </w:t>
      </w:r>
      <w:r>
        <w:t xml:space="preserve">The data are the Chapter 1 FAUNMAP/PBDB matrix with an origin code (native, South American, Eurasian/Beringian), Florida Museum vertebrate paleontology catalogue records with locality ages, Morgan's (2005) first-appearance tables, and the expanded Mexican records from Tseng et al. 2026 for the southern boundary.</w:t>
      </w:r>
    </w:p>
    <w:p>
      <w:pPr>
        <w:pStyle w:val="BodyText"/>
      </w:pPr>
      <w:r>
        <w:rPr>
          <w:bCs/>
          <w:b/>
        </w:rPr>
        <w:t xml:space="preserve">Methods.</w:t>
      </w:r>
      <w:r>
        <w:t xml:space="preserve"> </w:t>
      </w:r>
      <w:r>
        <w:t xml:space="preserve">The analysis has four parts:</w:t>
      </w:r>
    </w:p>
    <w:p>
      <w:pPr>
        <w:numPr>
          <w:ilvl w:val="0"/>
          <w:numId w:val="1004"/>
        </w:numPr>
        <w:pStyle w:val="Compact"/>
      </w:pPr>
      <w:r>
        <w:rPr>
          <w:bCs/>
          <w:b/>
        </w:rPr>
        <w:t xml:space="preserve">Origin effects on β.</w:t>
      </w:r>
      <w:r>
        <w:t xml:space="preserve"> </w:t>
      </w:r>
      <w:r>
        <w:t xml:space="preserve">Run leave-one-origin-out and origin-partitioned βSIM, using the same equal-species subsampling (999 iterations) as Chapter 1.</w:t>
      </w:r>
    </w:p>
    <w:p>
      <w:pPr>
        <w:numPr>
          <w:ilvl w:val="0"/>
          <w:numId w:val="1004"/>
        </w:numPr>
        <w:pStyle w:val="Compact"/>
      </w:pPr>
      <w:r>
        <w:rPr>
          <w:bCs/>
          <w:b/>
        </w:rPr>
        <w:t xml:space="preserve">Occupancy.</w:t>
      </w:r>
      <w:r>
        <w:t xml:space="preserve"> </w:t>
      </w:r>
      <w:r>
        <w:t xml:space="preserve">Measure per-taxon occupancy in provinces and in 1–2° grid cells per bin, comparing immigrants and natives with taxon-level permutation tests.</w:t>
      </w:r>
    </w:p>
    <w:p>
      <w:pPr>
        <w:numPr>
          <w:ilvl w:val="0"/>
          <w:numId w:val="1004"/>
        </w:numPr>
        <w:pStyle w:val="Compact"/>
      </w:pPr>
      <w:r>
        <w:rPr>
          <w:bCs/>
          <w:b/>
        </w:rPr>
        <w:t xml:space="preserve">First appearances.</w:t>
      </w:r>
      <w:r>
        <w:t xml:space="preserve"> </w:t>
      </w:r>
      <w:r>
        <w:t xml:space="preserve">Estimate first-appearance dates per province with confidence intervals from locality ages. A Bayesian alternative uses PyRate-style age resampling, which Tseng et al. already applied at block scale.</w:t>
      </w:r>
    </w:p>
    <w:p>
      <w:pPr>
        <w:numPr>
          <w:ilvl w:val="0"/>
          <w:numId w:val="1004"/>
        </w:numPr>
        <w:pStyle w:val="Compact"/>
      </w:pPr>
      <w:r>
        <w:rPr>
          <w:bCs/>
          <w:b/>
        </w:rPr>
        <w:t xml:space="preserve">Invasion metrics and climate limits.</w:t>
      </w:r>
      <w:r>
        <w:t xml:space="preserve"> </w:t>
      </w:r>
      <w:r>
        <w:t xml:space="preserve">Compute lag times and native-displacement tests: occupancy of ecologically similar natives before and after an immigrant arrives. Add climate-envelope tests at the northern limits of Florida-restricted taxa using Oscillayers, which provides 10-kyr bioclim layers back to 5.4 Ma (</w:t>
      </w:r>
      <w:hyperlink r:id="rId33">
        <w:r>
          <w:rPr>
            <w:rStyle w:val="Hyperlink"/>
          </w:rPr>
          <w:t xml:space="preserve">Gamisch 2019</w:t>
        </w:r>
      </w:hyperlink>
      <w:r>
        <w:t xml:space="preserve">).</w:t>
      </w:r>
    </w:p>
    <w:p>
      <w:pPr>
        <w:pStyle w:val="FirstParagraph"/>
      </w:pPr>
      <w:r>
        <w:rPr>
          <w:bCs/>
          <w:b/>
        </w:rPr>
        <w:t xml:space="preserve">Expected outcome and why it matters.</w:t>
      </w:r>
      <w:r>
        <w:t xml:space="preserve"> </w:t>
      </w:r>
      <w:r>
        <w:t xml:space="preserve">The most likely result, given Chapter 1 and Morgan's restricted-versus-widespread split, is that early GABI immigrants</w:t>
      </w:r>
      <w:r>
        <w:t xml:space="preserve"> </w:t>
      </w:r>
      <w:r>
        <w:rPr>
          <w:iCs/>
          <w:i/>
        </w:rPr>
        <w:t xml:space="preserve">increased</w:t>
      </w:r>
      <w:r>
        <w:t xml:space="preserve"> </w:t>
      </w:r>
      <w:r>
        <w:t xml:space="preserve">provincialism and the later Beringian grazers began eroding it. That would show the same land-bridge interchange producing opposite β effects depending on immigrant range dynamics. It would reconcile the Stigall and Darroch frames within one system and give invasion biology a rare deep-time test of lag phases and propagule pressure. No fossil-mammal test of these was found in our searches; the two Bison dispersal waves, at about 195–135 ka and 45–21 ka, are a natural propagule-pressure case.</w:t>
      </w:r>
    </w:p>
    <w:p>
      <w:pPr>
        <w:pStyle w:val="BodyText"/>
      </w:pPr>
      <w:r>
        <w:rPr>
          <w:bCs/>
          <w:b/>
        </w:rPr>
        <w:t xml:space="preserve">Feasibility, risks and de-risking.</w:t>
      </w:r>
      <w:r>
        <w:t xml:space="preserve"> </w:t>
      </w:r>
      <w:r>
        <w:t xml:space="preserve">This is the fastest chapter, because the data matrix exists. There are three risks:</w:t>
      </w:r>
    </w:p>
    <w:p>
      <w:pPr>
        <w:numPr>
          <w:ilvl w:val="0"/>
          <w:numId w:val="1005"/>
        </w:numPr>
        <w:pStyle w:val="Compact"/>
      </w:pPr>
      <w:r>
        <w:rPr>
          <w:bCs/>
          <w:b/>
        </w:rPr>
        <w:t xml:space="preserve">Low power.</w:t>
      </w:r>
      <w:r>
        <w:t xml:space="preserve"> </w:t>
      </w:r>
      <w:r>
        <w:t xml:space="preserve">Only about 16 South American genera reached temperate North America (</w:t>
      </w:r>
      <w:hyperlink r:id="rId30">
        <w:r>
          <w:rPr>
            <w:rStyle w:val="Hyperlink"/>
          </w:rPr>
          <w:t xml:space="preserve">Morgan 2005</w:t>
        </w:r>
      </w:hyperlink>
      <w:r>
        <w:t xml:space="preserve">). Rely on taxon-level permutations, not province-level significance, and report effect sizes.</w:t>
      </w:r>
    </w:p>
    <w:p>
      <w:pPr>
        <w:numPr>
          <w:ilvl w:val="0"/>
          <w:numId w:val="1005"/>
        </w:numPr>
        <w:pStyle w:val="Compact"/>
      </w:pPr>
      <w:r>
        <w:rPr>
          <w:bCs/>
          <w:b/>
        </w:rPr>
        <w:t xml:space="preserve">Taxonomic instability.</w:t>
      </w:r>
      <w:r>
        <w:t xml:space="preserve"> </w:t>
      </w:r>
      <w:r>
        <w:t xml:space="preserve">Run genus-level and species-level versions.</w:t>
      </w:r>
    </w:p>
    <w:p>
      <w:pPr>
        <w:numPr>
          <w:ilvl w:val="0"/>
          <w:numId w:val="1005"/>
        </w:numPr>
        <w:pStyle w:val="Compact"/>
      </w:pPr>
      <w:r>
        <w:rPr>
          <w:bCs/>
          <w:b/>
        </w:rPr>
        <w:t xml:space="preserve">Competition.</w:t>
      </w:r>
      <w:r>
        <w:t xml:space="preserve"> </w:t>
      </w:r>
      <w:r>
        <w:t xml:space="preserve">The Tseng group is the most plausible competitor, so move first and frame the chapter as complementary: the within-continent sequel to the holding-pen paper.</w:t>
      </w:r>
    </w:p>
    <w:p>
      <w:pPr>
        <w:pStyle w:val="FirstParagraph"/>
      </w:pPr>
      <w:r>
        <w:rPr>
          <w:bCs/>
          <w:b/>
        </w:rPr>
        <w:t xml:space="preserve">Target journals.</w:t>
      </w:r>
      <w:r>
        <w:t xml:space="preserve"> </w:t>
      </w:r>
      <w:r>
        <w:t xml:space="preserve">Proc. R. Soc. B or Global Ecology and Biogeography for the β and occupancy results. Paleobiology if the diachrony and uncertainty machinery dominates. Quaternary Science Reviews for a stand-alone first-appearance diachrony paper.</w:t>
      </w:r>
    </w:p>
    <w:bookmarkEnd w:id="34"/>
    <w:bookmarkStart w:id="43" w:name="X80416b14afc44b87d3a387b96e7fd1c94563749"/>
    <w:p>
      <w:pPr>
        <w:pStyle w:val="Heading3"/>
      </w:pPr>
      <w:r>
        <w:t xml:space="preserve">Chapter 3: Were provincial endemics the first to die, and did provincialism pre-condition the terminal extinction?</w:t>
      </w:r>
    </w:p>
    <w:p>
      <w:pPr>
        <w:pStyle w:val="FirstParagraph"/>
      </w:pPr>
      <w:r>
        <w:rPr>
          <w:bCs/>
          <w:b/>
        </w:rPr>
        <w:t xml:space="preserve">The gap and why it appears open.</w:t>
      </w:r>
      <w:r>
        <w:t xml:space="preserve"> </w:t>
      </w:r>
      <w:r>
        <w:t xml:space="preserve">North American late-Pleistocene extinction selectivity is well established for body size. Lyons, Smith &amp; Brown 2004 found strongly size-selective extinctions following human arrival on four continents (</w:t>
      </w:r>
      <w:hyperlink r:id="rId35">
        <w:r>
          <w:rPr>
            <w:rStyle w:val="Hyperlink"/>
          </w:rPr>
          <w:t xml:space="preserve">Lyons et al. 2004</w:t>
        </w:r>
      </w:hyperlink>
      <w:r>
        <w:t xml:space="preserve">). Polishchuk 2010 found extinction probability scaling with log body mass at a slope of about 0.75 (</w:t>
      </w:r>
      <w:hyperlink r:id="rId36">
        <w:r>
          <w:rPr>
            <w:rStyle w:val="Hyperlink"/>
          </w:rPr>
          <w:t xml:space="preserve">Polishchuk 2010</w:t>
        </w:r>
      </w:hyperlink>
      <w:r>
        <w:t xml:space="preserve">).</w:t>
      </w:r>
    </w:p>
    <w:p>
      <w:pPr>
        <w:pStyle w:val="BodyText"/>
      </w:pPr>
      <w:r>
        <w:t xml:space="preserve">Range evidence is thinner. Tóth et al. 2019 found that survivors had larger climatic and geographic envelopes than victims, but only from 21 ka onward (</w:t>
      </w:r>
      <w:hyperlink r:id="rId37">
        <w:r>
          <w:rPr>
            <w:rStyle w:val="Hyperlink"/>
          </w:rPr>
          <w:t xml:space="preserve">Tóth et al. 2019</w:t>
        </w:r>
      </w:hyperlink>
      <w:r>
        <w:t xml:space="preserve">). Lyons, Wagner &amp; Dzikiewicz 2010 tested range shifts through the last glacial and found that victims and survivors did not differ in range shifts (</w:t>
      </w:r>
      <w:hyperlink r:id="rId38">
        <w:r>
          <w:rPr>
            <w:rStyle w:val="Hyperlink"/>
          </w:rPr>
          <w:t xml:space="preserve">GSA abstract of Lyons et al. 2010</w:t>
        </w:r>
      </w:hyperlink>
      <w:r>
        <w:t xml:space="preserve">).</w:t>
      </w:r>
    </w:p>
    <w:p>
      <w:pPr>
        <w:pStyle w:val="BodyText"/>
      </w:pPr>
      <w:r>
        <w:t xml:space="preserve">Our searches found no test of whether provincial endemism or β-derived occupancy predicted extinction across the earlier pulses: end-Blancan, the Mid-Pleistocene Transition, and Irvingtonian→Rancholabrean. None was found on whether earlier provincial structure "pre-conditioned" the terminal event. Overlap is partial and low.</w:t>
      </w:r>
    </w:p>
    <w:p>
      <w:pPr>
        <w:pStyle w:val="BodyText"/>
      </w:pPr>
      <w:r>
        <w:rPr>
          <w:bCs/>
          <w:b/>
        </w:rPr>
        <w:t xml:space="preserve">Core question and predictions.</w:t>
      </w:r>
      <w:r>
        <w:t xml:space="preserve"> </w:t>
      </w:r>
      <w:r>
        <w:t xml:space="preserve">Chapter 1 says that endemic loss drives the late decline in βSIM. This chapter asks which endemics were lost, when, and whether endemism mattered once body size is held constant.</w:t>
      </w:r>
    </w:p>
    <w:p>
      <w:pPr>
        <w:pStyle w:val="BodyText"/>
      </w:pPr>
      <w:r>
        <w:rPr>
          <w:bCs/>
          <w:b/>
        </w:rPr>
        <w:t xml:space="preserve">H1.</w:t>
      </w:r>
      <w:r>
        <w:t xml:space="preserve"> </w:t>
      </w:r>
      <w:r>
        <w:t xml:space="preserve">Species restricted to one province in bin</w:t>
      </w:r>
      <w:r>
        <w:t xml:space="preserve"> </w:t>
      </w:r>
      <w:r>
        <w:rPr>
          <w:iCs/>
          <w:i/>
        </w:rPr>
        <w:t xml:space="preserve">t</w:t>
      </w:r>
      <w:r>
        <w:t xml:space="preserve"> </w:t>
      </w:r>
      <w:r>
        <w:t xml:space="preserve">have higher odds of disappearing by</w:t>
      </w:r>
      <w:r>
        <w:t xml:space="preserve"> </w:t>
      </w:r>
      <w:r>
        <w:rPr>
          <w:iCs/>
          <w:i/>
        </w:rPr>
        <w:t xml:space="preserve">t</w:t>
      </w:r>
      <w:r>
        <w:t xml:space="preserve">+1 than widespread species of the same mass and diet. The effect is strongest in the background pulses.</w:t>
      </w:r>
    </w:p>
    <w:p>
      <w:pPr>
        <w:pStyle w:val="BodyText"/>
      </w:pPr>
      <w:r>
        <w:rPr>
          <w:bCs/>
          <w:b/>
        </w:rPr>
        <w:t xml:space="preserve">H2.</w:t>
      </w:r>
      <w:r>
        <w:t xml:space="preserve"> </w:t>
      </w:r>
      <w:r>
        <w:t xml:space="preserve">The terminal extinction was dominated by size and was relatively insensitive to range. Widespread megafauna died along with endemics. That would explain why Fraser et al. found homogenization only</w:t>
      </w:r>
      <w:r>
        <w:t xml:space="preserve"> </w:t>
      </w:r>
      <w:r>
        <w:rPr>
          <w:iCs/>
          <w:i/>
        </w:rPr>
        <w:t xml:space="preserve">after</w:t>
      </w:r>
      <w:r>
        <w:t xml:space="preserve"> </w:t>
      </w:r>
      <w:r>
        <w:t xml:space="preserve">about 10 ka (</w:t>
      </w:r>
      <w:hyperlink r:id="rId21">
        <w:r>
          <w:rPr>
            <w:rStyle w:val="Hyperlink"/>
          </w:rPr>
          <w:t xml:space="preserve">Fraser et al. 2022</w:t>
        </w:r>
      </w:hyperlink>
      <w:r>
        <w:t xml:space="preserve">), and only a weak, non-significant decline in Chapter 1's last bin.</w:t>
      </w:r>
    </w:p>
    <w:p>
      <w:pPr>
        <w:pStyle w:val="BodyText"/>
      </w:pPr>
      <w:r>
        <w:rPr>
          <w:bCs/>
          <w:b/>
        </w:rPr>
        <w:t xml:space="preserve">H3.</w:t>
      </w:r>
      <w:r>
        <w:t xml:space="preserve"> </w:t>
      </w:r>
      <w:r>
        <w:t xml:space="preserve">The 80–350 kg and over 1,000 kg herbivores that built the Bin 2–3 provincial peak were selectively pruned during the Irvingtonian–Rancholabrean pulse. Proboscideans are a natural focal clade for this test.</w:t>
      </w:r>
    </w:p>
    <w:p>
      <w:pPr>
        <w:pStyle w:val="BodyText"/>
      </w:pPr>
      <w:r>
        <w:rPr>
          <w:bCs/>
          <w:b/>
        </w:rPr>
        <w:t xml:space="preserve">Data and methods.</w:t>
      </w:r>
      <w:r>
        <w:t xml:space="preserve"> </w:t>
      </w:r>
      <w:r>
        <w:t xml:space="preserve">Use the Chapter 1 occurrence matrix, with body mass and diet from PHYLACINE 1.2 for late-Quaternary taxa (</w:t>
      </w:r>
      <w:hyperlink r:id="rId39">
        <w:r>
          <w:rPr>
            <w:rStyle w:val="Hyperlink"/>
          </w:rPr>
          <w:t xml:space="preserve">PHYLACINE on Dryad</w:t>
        </w:r>
      </w:hyperlink>
      <w:r>
        <w:t xml:space="preserve">). Supplement it with genus or family imputation of mass, following Shupinski et al. 2024 (</w:t>
      </w:r>
      <w:hyperlink r:id="rId40">
        <w:r>
          <w:rPr>
            <w:rStyle w:val="Hyperlink"/>
          </w:rPr>
          <w:t xml:space="preserve">Shupinski et al. 2024</w:t>
        </w:r>
      </w:hyperlink>
      <w:r>
        <w:t xml:space="preserve">).</w:t>
      </w:r>
    </w:p>
    <w:p>
      <w:pPr>
        <w:pStyle w:val="BodyText"/>
      </w:pPr>
      <w:r>
        <w:t xml:space="preserve">Four predictors per species and bin: province count, grid-cell occupancy, endemic versus shared status, and each species' leave-one-out contribution to multisite βSIM.</w:t>
      </w:r>
    </w:p>
    <w:p>
      <w:pPr>
        <w:pStyle w:val="BodyText"/>
      </w:pPr>
      <w:r>
        <w:t xml:space="preserve">The response is "last appearance before</w:t>
      </w:r>
      <w:r>
        <w:t xml:space="preserve"> </w:t>
      </w:r>
      <w:r>
        <w:rPr>
          <w:iCs/>
          <w:i/>
        </w:rPr>
        <w:t xml:space="preserve">t</w:t>
      </w:r>
      <w:r>
        <w:t xml:space="preserve">+1." Model it with GLMMs that include taxonomic random effects, or with the Chapter 4 tree if it is ready, and compare effects across pulses. To separate extinction from non-detection, use a hierarchical Bayesian multispecies occupancy model. Reitan, Ergon &amp; Liow applied one to Plio-Pleistocene bryozoans from 2.29–0.30 Ma (</w:t>
      </w:r>
      <w:hyperlink r:id="rId41">
        <w:r>
          <w:rPr>
            <w:rStyle w:val="Hyperlink"/>
          </w:rPr>
          <w:t xml:space="preserve">Reitan et al. 2022</w:t>
        </w:r>
      </w:hyperlink>
      <w:r>
        <w:t xml:space="preserve">). Alternatively, use capture-mark-recapture estimators.</w:t>
      </w:r>
    </w:p>
    <w:p>
      <w:pPr>
        <w:pStyle w:val="BodyText"/>
      </w:pPr>
      <w:r>
        <w:rPr>
          <w:bCs/>
          <w:b/>
        </w:rPr>
        <w:t xml:space="preserve">Expected outcome and why it matters.</w:t>
      </w:r>
      <w:r>
        <w:t xml:space="preserve"> </w:t>
      </w:r>
      <w:r>
        <w:t xml:space="preserve">A finding that range buffered background extinction but not the terminal event would place the North American megafaunal extinction in a mass-extinction-like selectivity regime with a provincial pre-history. That moves the extinction debate from "which traits" to "which geography." It also links Chapter 1's pattern directly to the advisor's central research program.</w:t>
      </w:r>
    </w:p>
    <w:p>
      <w:pPr>
        <w:pStyle w:val="BodyText"/>
      </w:pPr>
      <w:r>
        <w:rPr>
          <w:bCs/>
          <w:b/>
        </w:rPr>
        <w:t xml:space="preserve">Feasibility, risks and de-risking.</w:t>
      </w:r>
      <w:r>
        <w:t xml:space="preserve"> </w:t>
      </w:r>
      <w:r>
        <w:t xml:space="preserve">The data exist, so feasibility is high. There are four risks:</w:t>
      </w:r>
    </w:p>
    <w:p>
      <w:pPr>
        <w:numPr>
          <w:ilvl w:val="0"/>
          <w:numId w:val="1006"/>
        </w:numPr>
        <w:pStyle w:val="Compact"/>
      </w:pPr>
      <w:r>
        <w:rPr>
          <w:bCs/>
          <w:b/>
        </w:rPr>
        <w:t xml:space="preserve">Coarse occupancy.</w:t>
      </w:r>
      <w:r>
        <w:t xml:space="preserve"> </w:t>
      </w:r>
      <w:r>
        <w:t xml:space="preserve">Three provinces give a range metric of only 1–3. Grid-cell occupancy and the leave-one-out βSIM contribution fix this.</w:t>
      </w:r>
    </w:p>
    <w:p>
      <w:pPr>
        <w:numPr>
          <w:ilvl w:val="0"/>
          <w:numId w:val="1006"/>
        </w:numPr>
        <w:pStyle w:val="Compact"/>
      </w:pPr>
      <w:r>
        <w:rPr>
          <w:bCs/>
          <w:b/>
        </w:rPr>
        <w:t xml:space="preserve">Pseudo-extinction through anagenesis.</w:t>
      </w:r>
      <w:r>
        <w:t xml:space="preserve"> </w:t>
      </w:r>
      <w:r>
        <w:t xml:space="preserve">Run lineage-level and species-level codings.</w:t>
      </w:r>
    </w:p>
    <w:p>
      <w:pPr>
        <w:numPr>
          <w:ilvl w:val="0"/>
          <w:numId w:val="1006"/>
        </w:numPr>
        <w:pStyle w:val="Compact"/>
      </w:pPr>
      <w:r>
        <w:rPr>
          <w:bCs/>
          <w:b/>
        </w:rPr>
        <w:t xml:space="preserve">Signor–Lipps edge effects.</w:t>
      </w:r>
      <w:r>
        <w:t xml:space="preserve"> </w:t>
      </w:r>
      <w:r>
        <w:t xml:space="preserve">Use occupancy-based detection.</w:t>
      </w:r>
    </w:p>
    <w:p>
      <w:pPr>
        <w:numPr>
          <w:ilvl w:val="0"/>
          <w:numId w:val="1006"/>
        </w:numPr>
        <w:pStyle w:val="Compact"/>
      </w:pPr>
      <w:r>
        <w:rPr>
          <w:bCs/>
          <w:b/>
        </w:rPr>
        <w:t xml:space="preserve">Overlap with Balk et al. 2025.</w:t>
      </w:r>
      <w:r>
        <w:t xml:space="preserve"> </w:t>
      </w:r>
      <w:r>
        <w:t xml:space="preserve">"Most mammals do not wander: few species escape continental endemism" (Ecography, listed on the</w:t>
      </w:r>
      <w:r>
        <w:t xml:space="preserve"> </w:t>
      </w:r>
      <w:hyperlink r:id="rId42">
        <w:r>
          <w:rPr>
            <w:rStyle w:val="Hyperlink"/>
          </w:rPr>
          <w:t xml:space="preserve">Lyons lab page</w:t>
        </w:r>
      </w:hyperlink>
      <w:r>
        <w:t xml:space="preserve">) has not been read. Read it before framing.</w:t>
      </w:r>
    </w:p>
    <w:p>
      <w:pPr>
        <w:pStyle w:val="FirstParagraph"/>
      </w:pPr>
      <w:r>
        <w:rPr>
          <w:bCs/>
          <w:b/>
        </w:rPr>
        <w:t xml:space="preserve">Target journals.</w:t>
      </w:r>
      <w:r>
        <w:t xml:space="preserve"> </w:t>
      </w:r>
      <w:r>
        <w:t xml:space="preserve">PNAS or Ecology Letters if the multi-pulse contrast is clean. Proc. R. Soc. B, Paleobiology or Global Ecology and Biogeography otherwise.</w:t>
      </w:r>
    </w:p>
    <w:bookmarkEnd w:id="43"/>
    <w:bookmarkStart w:id="47" w:name="X44113b536b6a7753572ff9f00ba82bdaf280435"/>
    <w:p>
      <w:pPr>
        <w:pStyle w:val="Heading3"/>
      </w:pPr>
      <w:r>
        <w:t xml:space="preserve">Chapter 4: Is provincialism only taxonomic, or also functional and phylogenetic?</w:t>
      </w:r>
    </w:p>
    <w:p>
      <w:pPr>
        <w:pStyle w:val="FirstParagraph"/>
      </w:pPr>
      <w:r>
        <w:rPr>
          <w:bCs/>
          <w:b/>
        </w:rPr>
        <w:t xml:space="preserve">The gap and why it appears open.</w:t>
      </w:r>
      <w:r>
        <w:t xml:space="preserve"> </w:t>
      </w:r>
      <w:r>
        <w:t xml:space="preserve">All North American fossil homogenization work is taxonomic, including Fraser et al. 2014, Fraser et al. 2022 and Chapter 1. Rowan et al. 2024 used diet and size only as grouping partitions, not as trait-based β (</w:t>
      </w:r>
      <w:hyperlink r:id="rId20">
        <w:r>
          <w:rPr>
            <w:rStyle w:val="Hyperlink"/>
          </w:rPr>
          <w:t xml:space="preserve">Rowan et al. 2024</w:t>
        </w:r>
      </w:hyperlink>
      <w:r>
        <w:t xml:space="preserve">).</w:t>
      </w:r>
    </w:p>
    <w:p>
      <w:pPr>
        <w:pStyle w:val="BodyText"/>
      </w:pPr>
      <w:r>
        <w:t xml:space="preserve">Functional β exists only at much coarser grains:</w:t>
      </w:r>
    </w:p>
    <w:p>
      <w:pPr>
        <w:numPr>
          <w:ilvl w:val="0"/>
          <w:numId w:val="1007"/>
        </w:numPr>
        <w:pStyle w:val="Compact"/>
      </w:pPr>
      <w:r>
        <w:t xml:space="preserve">Blanco et al. 2025 computed convex-hull functional β between continents, with North and South America merged (</w:t>
      </w:r>
      <w:hyperlink r:id="rId44">
        <w:r>
          <w:rPr>
            <w:rStyle w:val="Hyperlink"/>
          </w:rPr>
          <w:t xml:space="preserve">Blanco et al. 2025</w:t>
        </w:r>
      </w:hyperlink>
      <w:r>
        <w:t xml:space="preserve">).</w:t>
      </w:r>
    </w:p>
    <w:p>
      <w:pPr>
        <w:numPr>
          <w:ilvl w:val="0"/>
          <w:numId w:val="1007"/>
        </w:numPr>
        <w:pStyle w:val="Compact"/>
      </w:pPr>
      <w:r>
        <w:t xml:space="preserve">Shupinski's 2024 dissertation Chapter 2 compared taxonomic and functional β across North America in 5-Myr slices. It found the two strongly correlated and peaking with grassland expansion. The 3.25–0.01 Ma window falls in roughly one of those slices, the spatial units are not stated in the abstract, and we found no published paper from that chapter (</w:t>
      </w:r>
      <w:hyperlink r:id="rId45">
        <w:r>
          <w:rPr>
            <w:rStyle w:val="Hyperlink"/>
          </w:rPr>
          <w:t xml:space="preserve">Shupinski 2024</w:t>
        </w:r>
      </w:hyperlink>
      <w:r>
        <w:t xml:space="preserve">).</w:t>
      </w:r>
    </w:p>
    <w:p>
      <w:pPr>
        <w:pStyle w:val="FirstParagraph"/>
      </w:pPr>
      <w:r>
        <w:t xml:space="preserve">No study computing phylogenetic β among fossil mammal assemblages through time was found in any system. Overlap is partial for functional β and none found for phylogenetic β.</w:t>
      </w:r>
    </w:p>
    <w:p>
      <w:pPr>
        <w:pStyle w:val="BodyText"/>
      </w:pPr>
      <w:r>
        <w:rPr>
          <w:bCs/>
          <w:b/>
        </w:rPr>
        <w:t xml:space="preserve">Core question and predictions.</w:t>
      </w:r>
      <w:r>
        <w:t xml:space="preserve"> </w:t>
      </w:r>
      <w:r>
        <w:t xml:space="preserve">Does Chapter 1's taxonomic provincialism hide functional redundancy, with provinces filled by different species doing the same jobs? And is it deep (distinct lineages) or shallow (sister species within shared genera)?</w:t>
      </w:r>
    </w:p>
    <w:p>
      <w:pPr>
        <w:pStyle w:val="BodyText"/>
      </w:pPr>
      <w:r>
        <w:t xml:space="preserve">Two precedents make the decoupling hypothesis plausible. Shupinski et al. 2025 found "different mammals, same structure" in co-occurrence across the Plio-Pleistocene transition (</w:t>
      </w:r>
      <w:hyperlink r:id="rId29">
        <w:r>
          <w:rPr>
            <w:rStyle w:val="Hyperlink"/>
          </w:rPr>
          <w:t xml:space="preserve">Shupinski et al. 2025</w:t>
        </w:r>
      </w:hyperlink>
      <w:r>
        <w:t xml:space="preserve">). Blanco et al. found taxonomic reassembly about 3.7 times as frequent as functional reassembly (</w:t>
      </w:r>
      <w:hyperlink r:id="rId44">
        <w:r>
          <w:rPr>
            <w:rStyle w:val="Hyperlink"/>
          </w:rPr>
          <w:t xml:space="preserve">Blanco et al. 2025</w:t>
        </w:r>
      </w:hyperlink>
      <w:r>
        <w:t xml:space="preserve">).</w:t>
      </w:r>
    </w:p>
    <w:p>
      <w:pPr>
        <w:pStyle w:val="BodyText"/>
      </w:pPr>
      <w:r>
        <w:rPr>
          <w:bCs/>
          <w:b/>
        </w:rPr>
        <w:t xml:space="preserve">H1.</w:t>
      </w:r>
      <w:r>
        <w:t xml:space="preserve"> </w:t>
      </w:r>
      <w:r>
        <w:t xml:space="preserve">Functional βSIM sits below taxonomic βSIM in every bin, and the gap is widest at the Bin 3 peak (0.92). That would indicate regional vicars among equids, camelids and cervids.</w:t>
      </w:r>
    </w:p>
    <w:p>
      <w:pPr>
        <w:pStyle w:val="BodyText"/>
      </w:pPr>
      <w:r>
        <w:rPr>
          <w:bCs/>
          <w:b/>
        </w:rPr>
        <w:t xml:space="preserve">H2.</w:t>
      </w:r>
      <w:r>
        <w:t xml:space="preserve"> </w:t>
      </w:r>
      <w:r>
        <w:t xml:space="preserve">Shupinski found taxonomic and functional β coupled at 5-Myr resolution. Use that coupling as the null, and predict that it</w:t>
      </w:r>
      <w:r>
        <w:t xml:space="preserve"> </w:t>
      </w:r>
      <w:r>
        <w:rPr>
          <w:iCs/>
          <w:i/>
        </w:rPr>
        <w:t xml:space="preserve">breaks</w:t>
      </w:r>
      <w:r>
        <w:t xml:space="preserve"> </w:t>
      </w:r>
      <w:r>
        <w:t xml:space="preserve">at sub-Myr resolution during the GABI and glacial cycles.</w:t>
      </w:r>
    </w:p>
    <w:p>
      <w:pPr>
        <w:pStyle w:val="BodyText"/>
      </w:pPr>
      <w:r>
        <w:rPr>
          <w:bCs/>
          <w:b/>
        </w:rPr>
        <w:t xml:space="preserve">H3.</w:t>
      </w:r>
      <w:r>
        <w:t xml:space="preserve"> </w:t>
      </w:r>
      <w:r>
        <w:t xml:space="preserve">Phylogenetic βSIM falls below taxonomic βSIM ("shallow provincialism"). Provinces differ mainly at the species level within shared genera, which points to vicariance driven by recent climate rather than deep lineage endemism.</w:t>
      </w:r>
    </w:p>
    <w:p>
      <w:pPr>
        <w:pStyle w:val="BodyText"/>
      </w:pPr>
      <w:r>
        <w:rPr>
          <w:bCs/>
          <w:b/>
        </w:rPr>
        <w:t xml:space="preserve">Data.</w:t>
      </w:r>
      <w:r>
        <w:t xml:space="preserve"> </w:t>
      </w:r>
      <w:r>
        <w:t xml:space="preserve">For traits:</w:t>
      </w:r>
    </w:p>
    <w:p>
      <w:pPr>
        <w:numPr>
          <w:ilvl w:val="0"/>
          <w:numId w:val="1008"/>
        </w:numPr>
        <w:pStyle w:val="Compact"/>
      </w:pPr>
      <w:r>
        <w:t xml:space="preserve">body mass, diet, locomotion and life habit from the Lyons/Shupinski codings;</w:t>
      </w:r>
    </w:p>
    <w:p>
      <w:pPr>
        <w:numPr>
          <w:ilvl w:val="0"/>
          <w:numId w:val="1008"/>
        </w:numPr>
        <w:pStyle w:val="Compact"/>
      </w:pPr>
      <w:r>
        <w:t xml:space="preserve">PHYLACINE for the youngest bins;</w:t>
      </w:r>
    </w:p>
    <w:p>
      <w:pPr>
        <w:numPr>
          <w:ilvl w:val="0"/>
          <w:numId w:val="1008"/>
        </w:numPr>
        <w:pStyle w:val="Compact"/>
      </w:pPr>
      <w:r>
        <w:t xml:space="preserve">hypsodonty and dental traits from Blanco et al.'s supplement and NOW.</w:t>
      </w:r>
    </w:p>
    <w:p>
      <w:pPr>
        <w:pStyle w:val="FirstParagraph"/>
      </w:pPr>
      <w:r>
        <w:t xml:space="preserve">Florida Museum specimens can fill trait gaps for Florida and Gulf Coast taxa.</w:t>
      </w:r>
    </w:p>
    <w:p>
      <w:pPr>
        <w:pStyle w:val="BodyText"/>
      </w:pPr>
      <w:r>
        <w:t xml:space="preserve">For phylogeny, use a composite genus-level tree grafted from clade trees onto a backbone, with branch lengths from fossil first appearances. PHYLACINE covers mainly taxa that survived into the late Quaternary, so on its own it cannot represent the Blancan–Irvingtonian endemics that drive the peak (</w:t>
      </w:r>
      <w:hyperlink r:id="rId39">
        <w:r>
          <w:rPr>
            <w:rStyle w:val="Hyperlink"/>
          </w:rPr>
          <w:t xml:space="preserve">PHYLACINE</w:t>
        </w:r>
      </w:hyperlink>
      <w:r>
        <w:t xml:space="preserve">).</w:t>
      </w:r>
    </w:p>
    <w:p>
      <w:pPr>
        <w:pStyle w:val="BodyText"/>
      </w:pPr>
      <w:r>
        <w:rPr>
          <w:bCs/>
          <w:b/>
        </w:rPr>
        <w:t xml:space="preserve">Methods.</w:t>
      </w:r>
    </w:p>
    <w:p>
      <w:pPr>
        <w:numPr>
          <w:ilvl w:val="0"/>
          <w:numId w:val="1009"/>
        </w:numPr>
        <w:pStyle w:val="Compact"/>
      </w:pPr>
      <w:r>
        <w:rPr>
          <w:bCs/>
          <w:b/>
        </w:rPr>
        <w:t xml:space="preserve">Functional β:</w:t>
      </w:r>
      <w:r>
        <w:t xml:space="preserve"> </w:t>
      </w:r>
      <w:r>
        <w:t xml:space="preserve">the convex-hull turnover/nestedness partition of Villéger et al. 2013 (</w:t>
      </w:r>
      <w:hyperlink r:id="rId46">
        <w:r>
          <w:rPr>
            <w:rStyle w:val="Hyperlink"/>
          </w:rPr>
          <w:t xml:space="preserve">Villéger et al. 2013</w:t>
        </w:r>
      </w:hyperlink>
      <w:r>
        <w:t xml:space="preserve">), via betapart, restricted to 2–3 PCoA axes because provincial faunas are small. Use a dendrogram-based alternative (BAT) as a robustness check.</w:t>
      </w:r>
    </w:p>
    <w:p>
      <w:pPr>
        <w:numPr>
          <w:ilvl w:val="0"/>
          <w:numId w:val="1009"/>
        </w:numPr>
        <w:pStyle w:val="Compact"/>
      </w:pPr>
      <w:r>
        <w:rPr>
          <w:bCs/>
          <w:b/>
        </w:rPr>
        <w:t xml:space="preserve">Trait-shuffling nulls:</w:t>
      </w:r>
      <w:r>
        <w:t xml:space="preserve"> </w:t>
      </w:r>
      <w:r>
        <w:t xml:space="preserve">hold composition fixed and randomize the links between traits and species.</w:t>
      </w:r>
    </w:p>
    <w:p>
      <w:pPr>
        <w:numPr>
          <w:ilvl w:val="0"/>
          <w:numId w:val="1009"/>
        </w:numPr>
        <w:pStyle w:val="Compact"/>
      </w:pPr>
      <w:r>
        <w:rPr>
          <w:bCs/>
          <w:b/>
        </w:rPr>
        <w:t xml:space="preserve">Phylogenetic β:</w:t>
      </w:r>
      <w:r>
        <w:t xml:space="preserve"> </w:t>
      </w:r>
      <w:r>
        <w:t xml:space="preserve">phylogenetic multisite βSIM across hundreds of tree resolutions.</w:t>
      </w:r>
    </w:p>
    <w:p>
      <w:pPr>
        <w:numPr>
          <w:ilvl w:val="0"/>
          <w:numId w:val="1009"/>
        </w:numPr>
        <w:pStyle w:val="Compact"/>
      </w:pPr>
      <w:r>
        <w:rPr>
          <w:bCs/>
          <w:b/>
        </w:rPr>
        <w:t xml:space="preserve">Cheap proxy:</w:t>
      </w:r>
      <w:r>
        <w:t xml:space="preserve"> </w:t>
      </w:r>
      <w:r>
        <w:t xml:space="preserve">species versus genus versus family βSIM as a taxonomic-hierarchy stand-in for phylogenetic β.</w:t>
      </w:r>
    </w:p>
    <w:p>
      <w:pPr>
        <w:numPr>
          <w:ilvl w:val="0"/>
          <w:numId w:val="1009"/>
        </w:numPr>
        <w:pStyle w:val="Compact"/>
      </w:pPr>
      <w:r>
        <w:rPr>
          <w:bCs/>
          <w:b/>
        </w:rPr>
        <w:t xml:space="preserve">Comparability:</w:t>
      </w:r>
      <w:r>
        <w:t xml:space="preserve"> </w:t>
      </w:r>
      <w:r>
        <w:t xml:space="preserve">the same diet, size and endemic/shared partitions as Chapter 1.</w:t>
      </w:r>
    </w:p>
    <w:p>
      <w:pPr>
        <w:pStyle w:val="FirstParagraph"/>
      </w:pPr>
      <w:r>
        <w:rPr>
          <w:bCs/>
          <w:b/>
        </w:rPr>
        <w:t xml:space="preserve">Expected outcome and why it matters.</w:t>
      </w:r>
      <w:r>
        <w:t xml:space="preserve"> </w:t>
      </w:r>
      <w:r>
        <w:t xml:space="preserve">If provinces were taxonomically distinct but functionally convergent, North America's provincialism did not limit ecosystem function. That changes how much weight the Chapter 1 result can bear. The phylogenetic component is what makes the chapter more widely citable: within our searches it would be the first phylogenetic β analysis of fossil mammal assemblages in any system. A matched rerun on East African data could also tell whether Rowan's homogenization was functional as well as taxonomic.</w:t>
      </w:r>
    </w:p>
    <w:p>
      <w:pPr>
        <w:pStyle w:val="BodyText"/>
      </w:pPr>
      <w:r>
        <w:rPr>
          <w:bCs/>
          <w:b/>
        </w:rPr>
        <w:t xml:space="preserve">Feasibility, risks and de-risking.</w:t>
      </w:r>
      <w:r>
        <w:t xml:space="preserve"> </w:t>
      </w:r>
      <w:r>
        <w:t xml:space="preserve">Two risks:</w:t>
      </w:r>
    </w:p>
    <w:p>
      <w:pPr>
        <w:numPr>
          <w:ilvl w:val="0"/>
          <w:numId w:val="1010"/>
        </w:numPr>
        <w:pStyle w:val="Compact"/>
      </w:pPr>
      <w:r>
        <w:rPr>
          <w:bCs/>
          <w:b/>
        </w:rPr>
        <w:t xml:space="preserve">The composite tree.</w:t>
      </w:r>
      <w:r>
        <w:t xml:space="preserve"> </w:t>
      </w:r>
      <w:r>
        <w:t xml:space="preserve">Mitigate it by doing the taxonomic-hierarchy proxy first. Then build the tree only for the clades driving βSIM, which Chapter 1's partitions already identify (large grazers, megaherbivores), and propagate topological uncertainty.</w:t>
      </w:r>
    </w:p>
    <w:p>
      <w:pPr>
        <w:numPr>
          <w:ilvl w:val="0"/>
          <w:numId w:val="1010"/>
        </w:numPr>
        <w:pStyle w:val="Compact"/>
      </w:pPr>
      <w:r>
        <w:rPr>
          <w:bCs/>
          <w:b/>
        </w:rPr>
        <w:t xml:space="preserve">Convex hulls with few species per province.</w:t>
      </w:r>
      <w:r>
        <w:t xml:space="preserve"> </w:t>
      </w:r>
      <w:r>
        <w:t xml:space="preserve">Mitigate with low-dimensional trait space and dendrogram methods.</w:t>
      </w:r>
    </w:p>
    <w:p>
      <w:pPr>
        <w:pStyle w:val="FirstParagraph"/>
      </w:pPr>
      <w:r>
        <w:rPr>
          <w:bCs/>
          <w:b/>
        </w:rPr>
        <w:t xml:space="preserve">Target journals.</w:t>
      </w:r>
      <w:r>
        <w:t xml:space="preserve"> </w:t>
      </w:r>
      <w:r>
        <w:t xml:space="preserve">Ecology Letters or Global Ecology and Biogeography. Nature Ecology &amp; Evolution or PNAS if paired with an East African comparison. Paleobiology as a fallback.</w:t>
      </w:r>
    </w:p>
    <w:bookmarkEnd w:id="47"/>
    <w:bookmarkStart w:id="54" w:name="Xc4ad2810ffd500cd5bd98b1740ec0ac63d2ab17"/>
    <w:p>
      <w:pPr>
        <w:pStyle w:val="Heading3"/>
      </w:pPr>
      <w:r>
        <w:t xml:space="preserve">Chapter 5: What drew the boundaries — climate, topography, or barriers?</w:t>
      </w:r>
    </w:p>
    <w:p>
      <w:pPr>
        <w:pStyle w:val="FirstParagraph"/>
      </w:pPr>
      <w:r>
        <w:rPr>
          <w:bCs/>
          <w:b/>
        </w:rPr>
        <w:t xml:space="preserve">The gap and why it appears open.</w:t>
      </w:r>
      <w:r>
        <w:t xml:space="preserve"> </w:t>
      </w:r>
      <w:r>
        <w:t xml:space="preserve">No application of generalized dissimilarity modelling (GDM), zeta diversity, Infomap or network bioregionalization, or divvy spatial standardization to Plio-Pleistocene North American mammals was found.</w:t>
      </w:r>
    </w:p>
    <w:p>
      <w:pPr>
        <w:pStyle w:val="BodyText"/>
      </w:pPr>
      <w:r>
        <w:t xml:space="preserve">Each method has a working template in a neighbouring system. Blois and colleagues applied GDM to eastern North American fossil pollen from 21 ka to the present: models explained at least 60% of turnover, but transferability decayed with time (</w:t>
      </w:r>
      <w:hyperlink r:id="rId48">
        <w:r>
          <w:rPr>
            <w:rStyle w:val="Hyperlink"/>
          </w:rPr>
          <w:t xml:space="preserve">Blois et al. ESA 2011</w:t>
        </w:r>
      </w:hyperlink>
      <w:r>
        <w:t xml:space="preserve">). Brook et al. 2025 clustered more than 350 fossil sites globally for the Late Pleistocene versus the Holocene, with "chase" and spatially constrained Ward clustering (</w:t>
      </w:r>
      <w:hyperlink r:id="rId49">
        <w:r>
          <w:rPr>
            <w:rStyle w:val="Hyperlink"/>
          </w:rPr>
          <w:t xml:space="preserve">Brook et al. preprint</w:t>
        </w:r>
      </w:hyperlink>
      <w:r>
        <w:t xml:space="preserve">, now published in Biology Letters 21(8):20250151 per the</w:t>
      </w:r>
      <w:r>
        <w:t xml:space="preserve"> </w:t>
      </w:r>
      <w:hyperlink r:id="rId42">
        <w:r>
          <w:rPr>
            <w:rStyle w:val="Hyperlink"/>
          </w:rPr>
          <w:t xml:space="preserve">Lyons lab list</w:t>
        </w:r>
      </w:hyperlink>
      <w:r>
        <w:t xml:space="preserve">). An Old World Neogene–Pleistocene bioregionalization framework exists (</w:t>
      </w:r>
      <w:hyperlink r:id="rId50">
        <w:r>
          <w:rPr>
            <w:rStyle w:val="Hyperlink"/>
          </w:rPr>
          <w:t xml:space="preserve">Dryad record</w:t>
        </w:r>
      </w:hyperlink>
      <w:r>
        <w:t xml:space="preserve">).</w:t>
      </w:r>
    </w:p>
    <w:p>
      <w:pPr>
        <w:pStyle w:val="BodyText"/>
      </w:pPr>
      <w:r>
        <w:t xml:space="preserve">Overlap is none found for GDM and partial for bioregionalization. Brook et al. is global and covers only about the last 50 kyr. The Old World framework has no North American data.</w:t>
      </w:r>
    </w:p>
    <w:p>
      <w:pPr>
        <w:pStyle w:val="BodyText"/>
      </w:pPr>
      <w:r>
        <w:rPr>
          <w:bCs/>
          <w:b/>
        </w:rPr>
        <w:t xml:space="preserve">Core question and predictions.</w:t>
      </w:r>
      <w:r>
        <w:t xml:space="preserve"> </w:t>
      </w:r>
      <w:r>
        <w:t xml:space="preserve">Which variables explain pairwise faunal dissimilarity among sites in each bin: climate distance, geographic distance, topographic roughness, or barrier crossings (the Mississippi, the Rockies, the Gulf Coastal Plain)? And are Chapter 1's physiographic provinces real biotic units?</w:t>
      </w:r>
    </w:p>
    <w:p>
      <w:pPr>
        <w:pStyle w:val="BodyText"/>
      </w:pPr>
      <w:r>
        <w:rPr>
          <w:bCs/>
          <w:b/>
        </w:rPr>
        <w:t xml:space="preserve">H1.</w:t>
      </w:r>
      <w:r>
        <w:t xml:space="preserve"> </w:t>
      </w:r>
      <w:r>
        <w:t xml:space="preserve">Barrier and topographic effects dominate in Bins 1–3, consistent with the intermontane-West contrast in Atwater &amp; Davis 2011 and Badgley et al. 2017 (</w:t>
      </w:r>
      <w:hyperlink r:id="rId51">
        <w:r>
          <w:rPr>
            <w:rStyle w:val="Hyperlink"/>
          </w:rPr>
          <w:t xml:space="preserve">Badgley et al. 2017</w:t>
        </w:r>
      </w:hyperlink>
      <w:r>
        <w:t xml:space="preserve">). Climate distance gains explanatory power after the Mid-Pleistocene Transition (Bins 4–5).</w:t>
      </w:r>
    </w:p>
    <w:p>
      <w:pPr>
        <w:pStyle w:val="BodyText"/>
      </w:pPr>
      <w:r>
        <w:rPr>
          <w:bCs/>
          <w:b/>
        </w:rPr>
        <w:t xml:space="preserve">H2.</w:t>
      </w:r>
      <w:r>
        <w:t xml:space="preserve"> </w:t>
      </w:r>
      <w:r>
        <w:t xml:space="preserve">β is hump-shaped against precipitation, as Fraser et al. 2014 found at Cenozoic scale (</w:t>
      </w:r>
      <w:hyperlink r:id="rId22">
        <w:r>
          <w:rPr>
            <w:rStyle w:val="Hyperlink"/>
          </w:rPr>
          <w:t xml:space="preserve">Fraser et al. 2014</w:t>
        </w:r>
      </w:hyperlink>
      <w:r>
        <w:t xml:space="preserve">).</w:t>
      </w:r>
    </w:p>
    <w:p>
      <w:pPr>
        <w:pStyle w:val="BodyText"/>
      </w:pPr>
      <w:r>
        <w:rPr>
          <w:bCs/>
          <w:b/>
        </w:rPr>
        <w:t xml:space="preserve">H3.</w:t>
      </w:r>
      <w:r>
        <w:t xml:space="preserve"> </w:t>
      </w:r>
      <w:r>
        <w:t xml:space="preserve">β among grazers tracks openness proxies, while β among browsers tracks topography.</w:t>
      </w:r>
    </w:p>
    <w:p>
      <w:pPr>
        <w:pStyle w:val="BodyText"/>
      </w:pPr>
      <w:r>
        <w:rPr>
          <w:bCs/>
          <w:b/>
        </w:rPr>
        <w:t xml:space="preserve">H4.</w:t>
      </w:r>
      <w:r>
        <w:t xml:space="preserve"> </w:t>
      </w:r>
      <w:r>
        <w:t xml:space="preserve">Data-derived bioregions are stable across bins and roughly match the imposed provinces. If they do not, part of Chapter 1's βSIM is an artifact of where the boundaries were drawn.</w:t>
      </w:r>
    </w:p>
    <w:p>
      <w:pPr>
        <w:pStyle w:val="BodyText"/>
      </w:pPr>
      <w:r>
        <w:rPr>
          <w:bCs/>
          <w:b/>
        </w:rPr>
        <w:t xml:space="preserve">Data.</w:t>
      </w:r>
      <w:r>
        <w:t xml:space="preserve"> </w:t>
      </w:r>
      <w:r>
        <w:t xml:space="preserve">Site-level FAUNMAP/PBDB coordinates and age ranges. Oscillayers bioclim at 10-kyr steps (</w:t>
      </w:r>
      <w:hyperlink r:id="rId33">
        <w:r>
          <w:rPr>
            <w:rStyle w:val="Hyperlink"/>
          </w:rPr>
          <w:t xml:space="preserve">Gamisch 2019</w:t>
        </w:r>
      </w:hyperlink>
      <w:r>
        <w:t xml:space="preserve">). PaleoClim HadCM3 snapshots, including M2 (~3.3 Ma), the mid-Piacenzian Warm Period and MIS 19 (~787 ka) (</w:t>
      </w:r>
      <w:hyperlink r:id="rId52">
        <w:r>
          <w:rPr>
            <w:rStyle w:val="Hyperlink"/>
          </w:rPr>
          <w:t xml:space="preserve">Brown et al. 2018</w:t>
        </w:r>
      </w:hyperlink>
      <w:r>
        <w:t xml:space="preserve">). Elevation and roughness, digitized barriers, and δ13C or hypsodonty as openness proxies.</w:t>
      </w:r>
    </w:p>
    <w:p>
      <w:pPr>
        <w:pStyle w:val="BodyText"/>
      </w:pPr>
      <w:r>
        <w:t xml:space="preserve">The open-habitat maps of Andermann et al. are 1-Myr steps, and the authors state they are unsuitable for Quaternary glacial cycles (</w:t>
      </w:r>
      <w:hyperlink r:id="rId53">
        <w:r>
          <w:rPr>
            <w:rStyle w:val="Hyperlink"/>
          </w:rPr>
          <w:t xml:space="preserve">Andermann et al.</w:t>
        </w:r>
      </w:hyperlink>
      <w:r>
        <w:t xml:space="preserve">).</w:t>
      </w:r>
    </w:p>
    <w:p>
      <w:pPr>
        <w:pStyle w:val="BodyText"/>
      </w:pPr>
      <w:r>
        <w:rPr>
          <w:bCs/>
          <w:b/>
        </w:rPr>
        <w:t xml:space="preserve">Methods.</w:t>
      </w:r>
    </w:p>
    <w:p>
      <w:pPr>
        <w:numPr>
          <w:ilvl w:val="0"/>
          <w:numId w:val="1011"/>
        </w:numPr>
        <w:pStyle w:val="Compact"/>
      </w:pPr>
      <w:r>
        <w:rPr>
          <w:bCs/>
          <w:b/>
        </w:rPr>
        <w:t xml:space="preserve">Drivers:</w:t>
      </w:r>
      <w:r>
        <w:t xml:space="preserve"> </w:t>
      </w:r>
      <w:r>
        <w:t xml:space="preserve">GDM per bin on pairwise βSIM between grid-cell assemblages, and multisite GDM with zeta decline to separate rare-endemic from widespread-taxon structure.</w:t>
      </w:r>
    </w:p>
    <w:p>
      <w:pPr>
        <w:numPr>
          <w:ilvl w:val="0"/>
          <w:numId w:val="1011"/>
        </w:numPr>
        <w:pStyle w:val="Compact"/>
      </w:pPr>
      <w:r>
        <w:rPr>
          <w:bCs/>
          <w:b/>
        </w:rPr>
        <w:t xml:space="preserve">Bioregions:</w:t>
      </w:r>
      <w:r>
        <w:t xml:space="preserve"> </w:t>
      </w:r>
      <w:r>
        <w:t xml:space="preserve">bipartite Infomap per bin, compared with the physiographic provinces by boundary overlap, with chase clustering as a cross-method check.</w:t>
      </w:r>
    </w:p>
    <w:p>
      <w:pPr>
        <w:numPr>
          <w:ilvl w:val="0"/>
          <w:numId w:val="1011"/>
        </w:numPr>
        <w:pStyle w:val="Compact"/>
      </w:pPr>
      <w:r>
        <w:rPr>
          <w:bCs/>
          <w:b/>
        </w:rPr>
        <w:t xml:space="preserve">Uncertainty module:</w:t>
      </w:r>
      <w:r>
        <w:t xml:space="preserve"> </w:t>
      </w:r>
      <w:r>
        <w:t xml:space="preserve">draw locality ages from their NALMA or radiometric ranges, re-bin them, subsample spatially with divvy (</w:t>
      </w:r>
      <w:hyperlink r:id="rId24">
        <w:r>
          <w:rPr>
            <w:rStyle w:val="Hyperlink"/>
          </w:rPr>
          <w:t xml:space="preserve">Antell et al. 2024</w:t>
        </w:r>
      </w:hyperlink>
      <w:r>
        <w:t xml:space="preserve">), and recompute Chapter 1's βSIM and partitions, with a power analysis.</w:t>
      </w:r>
    </w:p>
    <w:p>
      <w:pPr>
        <w:pStyle w:val="FirstParagraph"/>
      </w:pPr>
      <w:r>
        <w:rPr>
          <w:bCs/>
          <w:b/>
        </w:rPr>
        <w:t xml:space="preserve">Expected outcome and why it matters.</w:t>
      </w:r>
      <w:r>
        <w:t xml:space="preserve"> </w:t>
      </w:r>
      <w:r>
        <w:t xml:space="preserve">This chapter turns "persistent provincialism" into a mechanism and puts credible intervals on the Chapter 1 trajectory. It would be the first quantitative driver model of North American Plio-Pleistocene β and the first data-driven bioregionalization of that interval. The uncertainty module can be split off early to strengthen the Chapter 1 paper, or published separately as a methods note.</w:t>
      </w:r>
    </w:p>
    <w:p>
      <w:pPr>
        <w:pStyle w:val="BodyText"/>
      </w:pPr>
      <w:r>
        <w:rPr>
          <w:bCs/>
          <w:b/>
        </w:rPr>
        <w:t xml:space="preserve">Feasibility, risks and de-risking.</w:t>
      </w:r>
      <w:r>
        <w:t xml:space="preserve"> </w:t>
      </w:r>
      <w:r>
        <w:t xml:space="preserve">Three risks:</w:t>
      </w:r>
    </w:p>
    <w:p>
      <w:pPr>
        <w:numPr>
          <w:ilvl w:val="0"/>
          <w:numId w:val="1012"/>
        </w:numPr>
        <w:pStyle w:val="Compact"/>
      </w:pPr>
      <w:r>
        <w:rPr>
          <w:bCs/>
          <w:b/>
        </w:rPr>
        <w:t xml:space="preserve">Oscillayers' pattern scaling.</w:t>
      </w:r>
      <w:r>
        <w:t xml:space="preserve"> </w:t>
      </w:r>
      <w:r>
        <w:t xml:space="preserve">The spatial anomaly pattern is the same in every period and only its magnitude scales, so the layers cannot test changes in the</w:t>
      </w:r>
      <w:r>
        <w:t xml:space="preserve"> </w:t>
      </w:r>
      <w:r>
        <w:rPr>
          <w:iCs/>
          <w:i/>
        </w:rPr>
        <w:t xml:space="preserve">shape</w:t>
      </w:r>
      <w:r>
        <w:t xml:space="preserve"> </w:t>
      </w:r>
      <w:r>
        <w:t xml:space="preserve">of gradients (</w:t>
      </w:r>
      <w:hyperlink r:id="rId33">
        <w:r>
          <w:rPr>
            <w:rStyle w:val="Hyperlink"/>
          </w:rPr>
          <w:t xml:space="preserve">Gamisch 2019</w:t>
        </w:r>
      </w:hyperlink>
      <w:r>
        <w:t xml:space="preserve">). Pair them with PaleoClim snapshots as a sensitivity analysis.</w:t>
      </w:r>
    </w:p>
    <w:p>
      <w:pPr>
        <w:numPr>
          <w:ilvl w:val="0"/>
          <w:numId w:val="1012"/>
        </w:numPr>
        <w:pStyle w:val="Compact"/>
      </w:pPr>
      <w:r>
        <w:rPr>
          <w:bCs/>
          <w:b/>
        </w:rPr>
        <w:t xml:space="preserve">Too few sites per bin for GDM.</w:t>
      </w:r>
      <w:r>
        <w:t xml:space="preserve"> </w:t>
      </w:r>
      <w:r>
        <w:t xml:space="preserve">Pool into grid cells and model the Rancholabrean, the best-sampled bin, most richly.</w:t>
      </w:r>
    </w:p>
    <w:p>
      <w:pPr>
        <w:numPr>
          <w:ilvl w:val="0"/>
          <w:numId w:val="1012"/>
        </w:numPr>
        <w:pStyle w:val="Compact"/>
      </w:pPr>
      <w:r>
        <w:rPr>
          <w:bCs/>
          <w:b/>
        </w:rPr>
        <w:t xml:space="preserve">Time-averaging.</w:t>
      </w:r>
      <w:r>
        <w:t xml:space="preserve"> </w:t>
      </w:r>
      <w:r>
        <w:t xml:space="preserve">Assign each site the average climate across its age range.</w:t>
      </w:r>
    </w:p>
    <w:p>
      <w:pPr>
        <w:pStyle w:val="FirstParagraph"/>
      </w:pPr>
      <w:r>
        <w:rPr>
          <w:bCs/>
          <w:b/>
        </w:rPr>
        <w:t xml:space="preserve">Target journals.</w:t>
      </w:r>
      <w:r>
        <w:t xml:space="preserve"> </w:t>
      </w:r>
      <w:r>
        <w:t xml:space="preserve">Journal of Biogeography, Ecography or Global Ecology and Biogeography. Methods in Ecology and Evolution or Paleobiology for the uncertainty framework.</w:t>
      </w:r>
    </w:p>
    <w:bookmarkEnd w:id="54"/>
    <w:bookmarkStart w:id="60" w:name="Xc2aaab9fdeaf61fc722c8486d53bfde92eeb7e5"/>
    <w:p>
      <w:pPr>
        <w:pStyle w:val="Heading3"/>
      </w:pPr>
      <w:r>
        <w:t xml:space="preserve">Chapter 6 (capstone): Why did East Africa homogenize and North America not, and where do today's provinces fall?</w:t>
      </w:r>
    </w:p>
    <w:p>
      <w:pPr>
        <w:pStyle w:val="FirstParagraph"/>
      </w:pPr>
      <w:r>
        <w:rPr>
          <w:bCs/>
          <w:b/>
        </w:rPr>
        <w:t xml:space="preserve">The gap and why it appears open.</w:t>
      </w:r>
      <w:r>
        <w:t xml:space="preserve"> </w:t>
      </w:r>
      <w:r>
        <w:t xml:space="preserve">No study applying one standardized multisite β metric to Plio-Pleistocene large mammals on several continents was found. Chapter 1 and Rowan et al. appear to be the only two datasets analysed with the same design.</w:t>
      </w:r>
    </w:p>
    <w:p>
      <w:pPr>
        <w:pStyle w:val="BodyText"/>
      </w:pPr>
      <w:r>
        <w:t xml:space="preserve">No study was found placing modern North American mammal β, or the post-10 ka homogenization, within a multi-million-year "natural range of variability." Fraser et al. 2022 is bounded at 30 ka and used pairwise Jaccard (</w:t>
      </w:r>
      <w:hyperlink r:id="rId21">
        <w:r>
          <w:rPr>
            <w:rStyle w:val="Hyperlink"/>
          </w:rPr>
          <w:t xml:space="preserve">Fraser et al. 2022</w:t>
        </w:r>
      </w:hyperlink>
      <w:r>
        <w:t xml:space="preserve">).</w:t>
      </w:r>
    </w:p>
    <w:p>
      <w:pPr>
        <w:pStyle w:val="BodyText"/>
      </w:pPr>
      <w:r>
        <w:t xml:space="preserve">Modern syntheses make the comparison timely. Blowes et al. 2024 found homogenization and differentiation roughly balanced and strongly scale-dependent (</w:t>
      </w:r>
      <w:hyperlink r:id="rId55">
        <w:r>
          <w:rPr>
            <w:rStyle w:val="Hyperlink"/>
          </w:rPr>
          <w:t xml:space="preserve">Blowes et al. 2024</w:t>
        </w:r>
      </w:hyperlink>
      <w:r>
        <w:t xml:space="preserve">). Keck et al. 2025 found "no clear general homogenization" under human pressure (</w:t>
      </w:r>
      <w:hyperlink r:id="rId56">
        <w:r>
          <w:rPr>
            <w:rStyle w:val="Hyperlink"/>
          </w:rPr>
          <w:t xml:space="preserve">Keck et al. 2025</w:t>
        </w:r>
      </w:hyperlink>
      <w:r>
        <w:t xml:space="preserve">).</w:t>
      </w:r>
    </w:p>
    <w:p>
      <w:pPr>
        <w:pStyle w:val="BodyText"/>
      </w:pPr>
      <w:r>
        <w:rPr>
          <w:bCs/>
          <w:b/>
        </w:rPr>
        <w:t xml:space="preserve">Core question and predictions.</w:t>
      </w:r>
    </w:p>
    <w:p>
      <w:pPr>
        <w:pStyle w:val="BodyText"/>
      </w:pPr>
      <w:r>
        <w:rPr>
          <w:bCs/>
          <w:b/>
        </w:rPr>
        <w:t xml:space="preserve">H1.</w:t>
      </w:r>
      <w:r>
        <w:t xml:space="preserve"> </w:t>
      </w:r>
      <w:r>
        <w:t xml:space="preserve">The North America versus East Africa contrast survives grain harmonization. Test this by subdividing North American provinces to East African Rift extents and aggregating the other way. If the contrast collapses, it was a scale artifact, which is itself an important result given Blowes et al.</w:t>
      </w:r>
    </w:p>
    <w:p>
      <w:pPr>
        <w:pStyle w:val="BodyText"/>
      </w:pPr>
      <w:r>
        <w:rPr>
          <w:bCs/>
          <w:b/>
        </w:rPr>
        <w:t xml:space="preserve">H2.</w:t>
      </w:r>
      <w:r>
        <w:t xml:space="preserve"> </w:t>
      </w:r>
      <w:r>
        <w:t xml:space="preserve">Covariates predict which continent homogenized: magnitude of the C4 transition, topographic relief, latitudinal span and glacial exposure.</w:t>
      </w:r>
    </w:p>
    <w:p>
      <w:pPr>
        <w:pStyle w:val="BodyText"/>
      </w:pPr>
      <w:r>
        <w:rPr>
          <w:bCs/>
          <w:b/>
        </w:rPr>
        <w:t xml:space="preserve">H3.</w:t>
      </w:r>
      <w:r>
        <w:t xml:space="preserve"> </w:t>
      </w:r>
      <w:r>
        <w:t xml:space="preserve">Modern βSIM of mammals over 1 kg across the three provinces falls</w:t>
      </w:r>
      <w:r>
        <w:t xml:space="preserve"> </w:t>
      </w:r>
      <w:r>
        <w:rPr>
          <w:iCs/>
          <w:i/>
        </w:rPr>
        <w:t xml:space="preserve">below</w:t>
      </w:r>
      <w:r>
        <w:t xml:space="preserve"> </w:t>
      </w:r>
      <w:r>
        <w:t xml:space="preserve">the Plio-Pleistocene range (0.59–0.92). That would make today's fauna more homogeneous than at any point in the past 3.25 Myr.</w:t>
      </w:r>
    </w:p>
    <w:p>
      <w:pPr>
        <w:pStyle w:val="BodyText"/>
      </w:pPr>
      <w:r>
        <w:rPr>
          <w:bCs/>
          <w:b/>
        </w:rPr>
        <w:t xml:space="preserve">Data and methods.</w:t>
      </w:r>
      <w:r>
        <w:t xml:space="preserve"> </w:t>
      </w:r>
      <w:r>
        <w:t xml:space="preserve">Use the Chapter 1 and Rowan matrices with harmonized bins. Rasterize modern ranges to the same provinces and the 1 kg filter, then pseudo-sample them to fossil-like taphonomy. Darroch, Fraser &amp; Casey 2021 showed that the preservation potential of terrestrial β patterns is high (</w:t>
      </w:r>
      <w:hyperlink r:id="rId57">
        <w:r>
          <w:rPr>
            <w:rStyle w:val="Hyperlink"/>
          </w:rPr>
          <w:t xml:space="preserve">Darroch et al. 2021</w:t>
        </w:r>
      </w:hyperlink>
      <w:r>
        <w:t xml:space="preserve">). Recompute βSIM and Jaccard on both the fossil and modern datasets to bridge the metric gap with Fraser et al. 2022.</w:t>
      </w:r>
    </w:p>
    <w:p>
      <w:pPr>
        <w:pStyle w:val="BodyText"/>
      </w:pPr>
      <w:r>
        <w:t xml:space="preserve">An optional extension scores rewilding and reintroduction scenarios against the fossil baseline. Our searches found no rewilding proposal quantified in β terms; Donlan and colleagues' "Re-wilding North America" is conceptual (</w:t>
      </w:r>
      <w:hyperlink r:id="rId58">
        <w:r>
          <w:rPr>
            <w:rStyle w:val="Hyperlink"/>
          </w:rPr>
          <w:t xml:space="preserve">Donlan et al.</w:t>
        </w:r>
      </w:hyperlink>
      <w:r>
        <w:t xml:space="preserve">).</w:t>
      </w:r>
    </w:p>
    <w:p>
      <w:pPr>
        <w:pStyle w:val="BodyText"/>
      </w:pPr>
      <w:r>
        <w:rPr>
          <w:bCs/>
          <w:b/>
        </w:rPr>
        <w:t xml:space="preserve">Expected outcome and why it matters.</w:t>
      </w:r>
      <w:r>
        <w:t xml:space="preserve"> </w:t>
      </w:r>
      <w:r>
        <w:t xml:space="preserve">It gives a continent-comparative theory of when interchange and climate homogenize faunas, and a conservation-paleobiology baseline for "natural" provinciality.</w:t>
      </w:r>
    </w:p>
    <w:p>
      <w:pPr>
        <w:pStyle w:val="BodyText"/>
      </w:pPr>
      <w:r>
        <w:rPr>
          <w:bCs/>
          <w:b/>
        </w:rPr>
        <w:t xml:space="preserve">Feasibility, risks and de-risking.</w:t>
      </w:r>
      <w:r>
        <w:t xml:space="preserve"> </w:t>
      </w:r>
      <w:r>
        <w:t xml:space="preserve">The main risk is access to the East African data. Approach the Rowan group early as collaborators. Dr. Jukar's co-authorship with Faith and Du on Fraser et al. 2022 (</w:t>
      </w:r>
      <w:hyperlink r:id="rId59">
        <w:r>
          <w:rPr>
            <w:rStyle w:val="Hyperlink"/>
          </w:rPr>
          <w:t xml:space="preserve">DOAJ record</w:t>
        </w:r>
      </w:hyperlink>
      <w:r>
        <w:t xml:space="preserve">) is a natural bridge. If access fails, the modern-baseline half stands alone.</w:t>
      </w:r>
    </w:p>
    <w:p>
      <w:pPr>
        <w:pStyle w:val="BodyText"/>
      </w:pPr>
      <w:r>
        <w:rPr>
          <w:bCs/>
          <w:b/>
        </w:rPr>
        <w:t xml:space="preserve">Target journals.</w:t>
      </w:r>
      <w:r>
        <w:t xml:space="preserve"> </w:t>
      </w:r>
      <w:r>
        <w:t xml:space="preserve">Nature Ecology &amp; Evolution or PNAS for the cross-continent paper. Conservation Biology, Global Change Biology or Phil. Trans. R. Soc. B for the baseline.</w:t>
      </w:r>
    </w:p>
    <w:bookmarkEnd w:id="60"/>
    <w:bookmarkStart w:id="66" w:name="alternates-worth-keeping-in-reserve"/>
    <w:p>
      <w:pPr>
        <w:pStyle w:val="Heading3"/>
      </w:pPr>
      <w:r>
        <w:t xml:space="preserve">Alternates worth keeping in reserve</w:t>
      </w:r>
    </w:p>
    <w:p>
      <w:pPr>
        <w:pStyle w:val="FirstParagraph"/>
      </w:pPr>
      <w:r>
        <w:rPr>
          <w:bCs/>
          <w:b/>
        </w:rPr>
        <w:t xml:space="preserve">Small-mammal provinciality.</w:t>
      </w:r>
      <w:r>
        <w:t xml:space="preserve"> </w:t>
      </w:r>
      <w:r>
        <w:t xml:space="preserve">Fejfar &amp; Repenning's five arvicoline regions were never quantified. The Blancan–Irvingtonian boundary is diachronous by about 300 kyr between east and west (</w:t>
      </w:r>
      <w:hyperlink r:id="rId61">
        <w:r>
          <w:rPr>
            <w:rStyle w:val="Hyperlink"/>
          </w:rPr>
          <w:t xml:space="preserve">Bell &amp; Jass 2011</w:t>
        </w:r>
      </w:hyperlink>
      <w:r>
        <w:t xml:space="preserve">). In the Holocene, small mammals homogenized later and more weakly than large mammals (</w:t>
      </w:r>
      <w:hyperlink r:id="rId62">
        <w:r>
          <w:rPr>
            <w:rStyle w:val="Hyperlink"/>
          </w:rPr>
          <w:t xml:space="preserve">Fraser et al. 2022</w:t>
        </w:r>
      </w:hyperlink>
      <w:r>
        <w:t xml:space="preserve">). A quantitative small-mammal β analysis is strongly novel. However, the screenwashing and cave taphonomy make fair comparison with large mammals hard, and assembling the data is heavy.</w:t>
      </w:r>
    </w:p>
    <w:p>
      <w:pPr>
        <w:pStyle w:val="BodyText"/>
      </w:pPr>
      <w:r>
        <w:rPr>
          <w:bCs/>
          <w:b/>
        </w:rPr>
        <w:t xml:space="preserve">Province-level predator–prey metawebs.</w:t>
      </w:r>
      <w:r>
        <w:t xml:space="preserve"> </w:t>
      </w:r>
      <w:r>
        <w:t xml:space="preserve">These would use interaction β diversity. Fossil networks exist for South America and Iberia (</w:t>
      </w:r>
      <w:hyperlink r:id="rId63">
        <w:r>
          <w:rPr>
            <w:rStyle w:val="Hyperlink"/>
          </w:rPr>
          <w:t xml:space="preserve">Pires et al. 2020</w:t>
        </w:r>
      </w:hyperlink>
      <w:r>
        <w:t xml:space="preserve">;</w:t>
      </w:r>
      <w:r>
        <w:t xml:space="preserve"> </w:t>
      </w:r>
      <w:hyperlink r:id="rId64">
        <w:r>
          <w:rPr>
            <w:rStyle w:val="Hyperlink"/>
          </w:rPr>
          <w:t xml:space="preserve">Nascimento et al. 2024</w:t>
        </w:r>
      </w:hyperlink>
      <w:r>
        <w:t xml:space="preserve">), but none were found for the North American Blancan–Irvingtonian. The idea is novel but rests heavily on inferred interactions.</w:t>
      </w:r>
    </w:p>
    <w:p>
      <w:pPr>
        <w:pStyle w:val="BodyText"/>
      </w:pPr>
      <w:r>
        <w:rPr>
          <w:bCs/>
          <w:b/>
        </w:rPr>
        <w:t xml:space="preserve">Province-resolved co-occurrence through the Rancholabrean.</w:t>
      </w:r>
      <w:r>
        <w:t xml:space="preserve"> </w:t>
      </w:r>
      <w:r>
        <w:t xml:space="preserve">This would extend Shupinski et al. 2025. It is feasible through the Lyons–Pineda-Munoz pipeline, which Dr. Jukar has published in (</w:t>
      </w:r>
      <w:hyperlink r:id="rId65">
        <w:r>
          <w:rPr>
            <w:rStyle w:val="Hyperlink"/>
          </w:rPr>
          <w:t xml:space="preserve">Pineda-Munoz et al. 2021</w:t>
        </w:r>
      </w:hyperlink>
      <w:r>
        <w:t xml:space="preserve">), but it is only incrementally novel.</w:t>
      </w:r>
    </w:p>
    <w:bookmarkEnd w:id="66"/>
    <w:bookmarkEnd w:id="67"/>
    <w:bookmarkStart w:id="68" w:name="X5958df5d9e3a8d1e2d2266f366b04c3dc50388a"/>
    <w:p>
      <w:pPr>
        <w:pStyle w:val="Heading2"/>
      </w:pPr>
      <w:r>
        <w:t xml:space="preserve">The chapters form one argument: pattern, agents, dimensions, mechanisms, consequences, context</w:t>
      </w:r>
    </w:p>
    <w:p>
      <w:pPr>
        <w:pStyle w:val="FirstParagraph"/>
      </w:pPr>
      <w:r>
        <w:t xml:space="preserve">Read in order, the chapters answer the questions a committee will ask after Chapter 1:</w:t>
      </w:r>
    </w:p>
    <w:p>
      <w:pPr>
        <w:numPr>
          <w:ilvl w:val="0"/>
          <w:numId w:val="1013"/>
        </w:numPr>
        <w:pStyle w:val="Compact"/>
      </w:pPr>
      <w:r>
        <w:t xml:space="preserve">Chapter 1 gives the</w:t>
      </w:r>
      <w:r>
        <w:t xml:space="preserve"> </w:t>
      </w:r>
      <w:r>
        <w:rPr>
          <w:bCs/>
          <w:b/>
        </w:rPr>
        <w:t xml:space="preserve">pattern</w:t>
      </w:r>
      <w:r>
        <w:t xml:space="preserve">: provincialism persisted.</w:t>
      </w:r>
    </w:p>
    <w:p>
      <w:pPr>
        <w:numPr>
          <w:ilvl w:val="0"/>
          <w:numId w:val="1013"/>
        </w:numPr>
        <w:pStyle w:val="Compact"/>
      </w:pPr>
      <w:r>
        <w:t xml:space="preserve">Chapter 2 identifies the</w:t>
      </w:r>
      <w:r>
        <w:t xml:space="preserve"> </w:t>
      </w:r>
      <w:r>
        <w:rPr>
          <w:bCs/>
          <w:b/>
        </w:rPr>
        <w:t xml:space="preserve">agents</w:t>
      </w:r>
      <w:r>
        <w:t xml:space="preserve">. Immigrants are the obvious candidate homogenizers, and the prediction is that they did the opposite.</w:t>
      </w:r>
    </w:p>
    <w:p>
      <w:pPr>
        <w:numPr>
          <w:ilvl w:val="0"/>
          <w:numId w:val="1013"/>
        </w:numPr>
        <w:pStyle w:val="Compact"/>
      </w:pPr>
      <w:r>
        <w:t xml:space="preserve">Chapter 4 tests the</w:t>
      </w:r>
      <w:r>
        <w:t xml:space="preserve"> </w:t>
      </w:r>
      <w:r>
        <w:rPr>
          <w:bCs/>
          <w:b/>
        </w:rPr>
        <w:t xml:space="preserve">dimension</w:t>
      </w:r>
      <w:r>
        <w:t xml:space="preserve">: whether provincialism is ecologically meaningful or only a matter of names. (The chapter numbers are kept from the table; the order here follows the argument.)</w:t>
      </w:r>
    </w:p>
    <w:p>
      <w:pPr>
        <w:numPr>
          <w:ilvl w:val="0"/>
          <w:numId w:val="1013"/>
        </w:numPr>
        <w:pStyle w:val="Compact"/>
      </w:pPr>
      <w:r>
        <w:t xml:space="preserve">Chapter 5 supplies the</w:t>
      </w:r>
      <w:r>
        <w:t xml:space="preserve"> </w:t>
      </w:r>
      <w:r>
        <w:rPr>
          <w:bCs/>
          <w:b/>
        </w:rPr>
        <w:t xml:space="preserve">mechanism</w:t>
      </w:r>
      <w:r>
        <w:t xml:space="preserve">: which climate, topographic and barrier variables held the boundaries in place. Its uncertainty module retroactively hardens Chapter 1.</w:t>
      </w:r>
    </w:p>
    <w:p>
      <w:pPr>
        <w:numPr>
          <w:ilvl w:val="0"/>
          <w:numId w:val="1013"/>
        </w:numPr>
        <w:pStyle w:val="Compact"/>
      </w:pPr>
      <w:r>
        <w:t xml:space="preserve">Chapter 3 traces the</w:t>
      </w:r>
      <w:r>
        <w:t xml:space="preserve"> </w:t>
      </w:r>
      <w:r>
        <w:rPr>
          <w:bCs/>
          <w:b/>
        </w:rPr>
        <w:t xml:space="preserve">consequences</w:t>
      </w:r>
      <w:r>
        <w:t xml:space="preserve">: provincial structure shaped extinction risk and conditioned the late homogenization Fraser et al. documented.</w:t>
      </w:r>
    </w:p>
    <w:p>
      <w:pPr>
        <w:numPr>
          <w:ilvl w:val="0"/>
          <w:numId w:val="1013"/>
        </w:numPr>
        <w:pStyle w:val="Compact"/>
      </w:pPr>
      <w:r>
        <w:t xml:space="preserve">Chapter 6 places all of this in</w:t>
      </w:r>
      <w:r>
        <w:t xml:space="preserve"> </w:t>
      </w:r>
      <w:r>
        <w:rPr>
          <w:bCs/>
          <w:b/>
        </w:rPr>
        <w:t xml:space="preserve">context</w:t>
      </w:r>
      <w:r>
        <w:t xml:space="preserve">, against East Africa and the present day.</w:t>
      </w:r>
    </w:p>
    <w:p>
      <w:pPr>
        <w:pStyle w:val="FirstParagraph"/>
      </w:pPr>
      <w:r>
        <w:t xml:space="preserve">Outputs chain across chapters:</w:t>
      </w:r>
    </w:p>
    <w:p>
      <w:pPr>
        <w:numPr>
          <w:ilvl w:val="0"/>
          <w:numId w:val="1014"/>
        </w:numPr>
        <w:pStyle w:val="Compact"/>
      </w:pPr>
      <w:r>
        <w:t xml:space="preserve">Chapter 2's occupancy metrics are predictors in Chapter 3.</w:t>
      </w:r>
    </w:p>
    <w:p>
      <w:pPr>
        <w:numPr>
          <w:ilvl w:val="0"/>
          <w:numId w:val="1014"/>
        </w:numPr>
        <w:pStyle w:val="Compact"/>
      </w:pPr>
      <w:r>
        <w:t xml:space="preserve">The trait matrix and tree from Chapter 4 supply the phylogenetic controls for Chapter 3.</w:t>
      </w:r>
    </w:p>
    <w:p>
      <w:pPr>
        <w:numPr>
          <w:ilvl w:val="0"/>
          <w:numId w:val="1014"/>
        </w:numPr>
        <w:pStyle w:val="Compact"/>
      </w:pPr>
      <w:r>
        <w:t xml:space="preserve">Chapter 5's credible intervals frame Chapter 6's "natural range of variability."</w:t>
      </w:r>
    </w:p>
    <w:p>
      <w:pPr>
        <w:pStyle w:val="FirstParagraph"/>
      </w:pPr>
      <w:r>
        <w:t xml:space="preserve">The recommended sequence follows data dependencies and risk:</w:t>
      </w:r>
    </w:p>
    <w:p>
      <w:pPr>
        <w:numPr>
          <w:ilvl w:val="0"/>
          <w:numId w:val="1015"/>
        </w:numPr>
        <w:pStyle w:val="Compact"/>
      </w:pPr>
      <w:r>
        <w:rPr>
          <w:bCs/>
          <w:b/>
        </w:rPr>
        <w:t xml:space="preserve">Now.</w:t>
      </w:r>
      <w:r>
        <w:t xml:space="preserve"> </w:t>
      </w:r>
      <w:r>
        <w:t xml:space="preserve">Fold a light version of the Chapter 5 uncertainty module (age resampling plus divvy) into the Chapter 1 manuscript, so the non-significant result is defended as robust rather than underpowered. Start trait and tree compilation in parallel, since that is the long pole.</w:t>
      </w:r>
    </w:p>
    <w:p>
      <w:pPr>
        <w:numPr>
          <w:ilvl w:val="0"/>
          <w:numId w:val="1015"/>
        </w:numPr>
        <w:pStyle w:val="Compact"/>
      </w:pPr>
      <w:r>
        <w:rPr>
          <w:bCs/>
          <w:b/>
        </w:rPr>
        <w:t xml:space="preserve">Next 6–9 months.</w:t>
      </w:r>
      <w:r>
        <w:t xml:space="preserve"> </w:t>
      </w:r>
      <w:r>
        <w:t xml:space="preserve">Chapter 2 (immigrants). It uses the existing matrix, plays to Florida Museum collections, and is the chapter most exposed to competition after Tseng et al. 2026.</w:t>
      </w:r>
    </w:p>
    <w:p>
      <w:pPr>
        <w:numPr>
          <w:ilvl w:val="0"/>
          <w:numId w:val="1015"/>
        </w:numPr>
        <w:pStyle w:val="Compact"/>
      </w:pPr>
      <w:r>
        <w:rPr>
          <w:bCs/>
          <w:b/>
        </w:rPr>
        <w:t xml:space="preserve">Year 3.</w:t>
      </w:r>
      <w:r>
        <w:t xml:space="preserve"> </w:t>
      </w:r>
      <w:r>
        <w:t xml:space="preserve">Chapter 3 (extinction), using taxonomic random effects first so it does not wait for the tree. Then Chapter 4 (functional and phylogenetic) once traits and tree are ready.</w:t>
      </w:r>
    </w:p>
    <w:p>
      <w:pPr>
        <w:numPr>
          <w:ilvl w:val="0"/>
          <w:numId w:val="1015"/>
        </w:numPr>
        <w:pStyle w:val="Compact"/>
      </w:pPr>
      <w:r>
        <w:rPr>
          <w:bCs/>
          <w:b/>
        </w:rPr>
        <w:t xml:space="preserve">Late Year 3–4.</w:t>
      </w:r>
      <w:r>
        <w:t xml:space="preserve"> </w:t>
      </w:r>
      <w:r>
        <w:t xml:space="preserve">Chapter 5 drivers and bioregions. Climate extraction can run as a background task from Year 2.</w:t>
      </w:r>
    </w:p>
    <w:p>
      <w:pPr>
        <w:numPr>
          <w:ilvl w:val="0"/>
          <w:numId w:val="1015"/>
        </w:numPr>
        <w:pStyle w:val="Compact"/>
      </w:pPr>
      <w:r>
        <w:rPr>
          <w:bCs/>
          <w:b/>
        </w:rPr>
        <w:t xml:space="preserve">Final year.</w:t>
      </w:r>
      <w:r>
        <w:t xml:space="preserve"> </w:t>
      </w:r>
      <w:r>
        <w:t xml:space="preserve">The Chapter 6 capstone if the East African data come through. Otherwise its modern-baseline half becomes the dissertation conclusion chapter.</w:t>
      </w:r>
    </w:p>
    <w:p>
      <w:pPr>
        <w:pStyle w:val="FirstParagraph"/>
      </w:pPr>
      <w:r>
        <w:t xml:space="preserve">A four-chapter dissertation (Chapter 1 plus 2, 3 and 4) is complete on its own, with Chapters 5 and 6 as stretch or postdoctoral projects.</w:t>
      </w:r>
    </w:p>
    <w:bookmarkEnd w:id="68"/>
    <w:bookmarkStart w:id="73" w:name="X517990f06f7e7501c1a0cbe0811d92affe64c25"/>
    <w:p>
      <w:pPr>
        <w:pStyle w:val="Heading2"/>
      </w:pPr>
      <w:r>
        <w:t xml:space="preserve">Novelty checks and citation corrections before submission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Specific overlap to clear</w:t>
            </w:r>
          </w:p>
        </w:tc>
        <w:tc>
          <w:tcPr/>
          <w:p>
            <w:pPr>
              <w:pStyle w:val="Compact"/>
              <w:jc w:val="left"/>
            </w:pPr>
            <w:r>
              <w:t xml:space="preserve">Concrete check</w:t>
            </w:r>
          </w:p>
        </w:tc>
      </w:tr>
      <w:tr>
        <w:tc>
          <w:tcPr/>
          <w:p>
            <w:pPr>
              <w:pStyle w:val="Compact"/>
              <w:jc w:val="left"/>
            </w:pPr>
            <w:r>
              <w:t xml:space="preserve">2</w:t>
            </w:r>
          </w:p>
        </w:tc>
        <w:tc>
          <w:tcPr/>
          <w:p>
            <w:pPr>
              <w:pStyle w:val="Compact"/>
              <w:jc w:val="left"/>
            </w:pPr>
            <w:r>
              <w:t xml:space="preserve">Tseng et al. 2026 supplement may hold per-genus regional first appearances; the group is likely continuing the work</w:t>
            </w:r>
          </w:p>
        </w:tc>
        <w:tc>
          <w:tcPr/>
          <w:p>
            <w:pPr>
              <w:pStyle w:val="Compact"/>
              <w:jc w:val="left"/>
            </w:pPr>
            <w:r>
              <w:t xml:space="preserve">Read the Science supplement; search NSF Award Search for Tseng; email the Tseng group early, framing the chapter as complementary</w:t>
            </w:r>
          </w:p>
        </w:tc>
      </w:tr>
      <w:tr>
        <w:tc>
          <w:tcPr/>
          <w:p>
            <w:pPr>
              <w:pStyle w:val="Compact"/>
              <w:jc w:val="left"/>
            </w:pPr>
            <w:r>
              <w:t xml:space="preserve">3</w:t>
            </w:r>
          </w:p>
        </w:tc>
        <w:tc>
          <w:tcPr/>
          <w:p>
            <w:pPr>
              <w:pStyle w:val="Compact"/>
              <w:jc w:val="left"/>
            </w:pPr>
            <w:r>
              <w:t xml:space="preserve">Lyons et al. 2010 full text; Balk et al. 2025 (Ecography e07966); Grund et al. 2012</w:t>
            </w:r>
          </w:p>
        </w:tc>
        <w:tc>
          <w:tcPr/>
          <w:p>
            <w:pPr>
              <w:pStyle w:val="Compact"/>
              <w:jc w:val="left"/>
            </w:pPr>
            <w:r>
              <w:t xml:space="preserve">Read all three in full; Google Scholar "occupancy OR endemism" + "extinction" + Irvingtonian/Blancan</w:t>
            </w:r>
          </w:p>
        </w:tc>
      </w:tr>
      <w:tr>
        <w:tc>
          <w:tcPr/>
          <w:p>
            <w:pPr>
              <w:pStyle w:val="Compact"/>
              <w:jc w:val="left"/>
            </w:pPr>
            <w:r>
              <w:t xml:space="preserve">4</w:t>
            </w:r>
          </w:p>
        </w:tc>
        <w:tc>
          <w:tcPr/>
          <w:p>
            <w:pPr>
              <w:pStyle w:val="Compact"/>
              <w:jc w:val="left"/>
            </w:pPr>
            <w:r>
              <w:t xml:space="preserve">Shupinski 2024 dissertation Ch. 2 (spatial units, taxonomic level, any Plio-Pleistocene slice)</w:t>
            </w:r>
          </w:p>
        </w:tc>
        <w:tc>
          <w:tcPr/>
          <w:p>
            <w:pPr>
              <w:pStyle w:val="Compact"/>
              <w:jc w:val="left"/>
            </w:pPr>
            <w:r>
              <w:t xml:space="preserve">Obtain the full text via ProQuest/UF Libraries; check EcoEvoRxiv/bioRxiv 2025–2026 for "functional beta" + Blancan/Irvingtonian/Rancholabrean, and "phylobetadiversity" + fossil</w:t>
            </w:r>
          </w:p>
        </w:tc>
      </w:tr>
      <w:tr>
        <w:tc>
          <w:tcPr/>
          <w:p>
            <w:pPr>
              <w:pStyle w:val="Compact"/>
              <w:jc w:val="left"/>
            </w:pPr>
            <w:r>
              <w:t xml:space="preserve">5</w:t>
            </w:r>
          </w:p>
        </w:tc>
        <w:tc>
          <w:tcPr/>
          <w:p>
            <w:pPr>
              <w:pStyle w:val="Compact"/>
              <w:jc w:val="left"/>
            </w:pPr>
            <w:r>
              <w:t xml:space="preserve">Brook et al. 2025 bins and data; the Old World framework (authors and journal unconfirmed; possibly Palaeontology 2022); Davis- and Badgley-lab theses</w:t>
            </w:r>
          </w:p>
        </w:tc>
        <w:tc>
          <w:tcPr/>
          <w:p>
            <w:pPr>
              <w:pStyle w:val="Compact"/>
              <w:jc w:val="left"/>
            </w:pPr>
            <w:r>
              <w:t xml:space="preserve">Read Brook et al. methods; resolve HAL hal-03651752; search "generalized dissimilarity" + fossil + mammal, and "Infomap" + Pleistocene</w:t>
            </w:r>
          </w:p>
        </w:tc>
      </w:tr>
      <w:tr>
        <w:tc>
          <w:tcPr/>
          <w:p>
            <w:pPr>
              <w:pStyle w:val="Compact"/>
              <w:jc w:val="left"/>
            </w:pPr>
            <w:r>
              <w:t xml:space="preserve">6</w:t>
            </w:r>
          </w:p>
        </w:tc>
        <w:tc>
          <w:tcPr/>
          <w:p>
            <w:pPr>
              <w:pStyle w:val="Compact"/>
              <w:jc w:val="left"/>
            </w:pPr>
            <w:r>
              <w:t xml:space="preserve">Rowan/Faith/Du 2025–2026 outputs; Fraser- and Neotoma-group preprints</w:t>
            </w:r>
          </w:p>
        </w:tc>
        <w:tc>
          <w:tcPr/>
          <w:p>
            <w:pPr>
              <w:pStyle w:val="Compact"/>
              <w:jc w:val="left"/>
            </w:pPr>
            <w:r>
              <w:t xml:space="preserve">Check lab pages and EcoEvoRxiv; ask Dr. Jukar about any ongoing Fraser-group baseline work</w:t>
            </w:r>
          </w:p>
        </w:tc>
      </w:tr>
    </w:tbl>
    <w:p>
      <w:pPr>
        <w:pStyle w:val="BodyText"/>
      </w:pPr>
      <w:r>
        <w:t xml:space="preserve">Across all chapters, the Lyons lab's active awards point at post-extinction Late Quaternary questions rather than Plio-Pleistocene provinces. That suggests modest pre-emption risk from that group, but the CV consulted dates from May 2024 (</w:t>
      </w:r>
      <w:hyperlink r:id="rId69">
        <w:r>
          <w:rPr>
            <w:rStyle w:val="Hyperlink"/>
          </w:rPr>
          <w:t xml:space="preserve">Lyons CV</w:t>
        </w:r>
      </w:hyperlink>
      <w:r>
        <w:t xml:space="preserve">).</w:t>
      </w:r>
    </w:p>
    <w:p>
      <w:pPr>
        <w:pStyle w:val="BodyText"/>
      </w:pPr>
      <w:r>
        <w:t xml:space="preserve">The notes also surfaced several citation corrections:</w:t>
      </w:r>
    </w:p>
    <w:p>
      <w:pPr>
        <w:numPr>
          <w:ilvl w:val="0"/>
          <w:numId w:val="1016"/>
        </w:numPr>
        <w:pStyle w:val="Compact"/>
      </w:pPr>
      <w:r>
        <w:t xml:space="preserve">The "Lisle/Davis" paper is</w:t>
      </w:r>
      <w:r>
        <w:t xml:space="preserve"> </w:t>
      </w:r>
      <w:r>
        <w:rPr>
          <w:bCs/>
          <w:b/>
        </w:rPr>
        <w:t xml:space="preserve">Atwater &amp; Davis 2011</w:t>
      </w:r>
      <w:r>
        <w:t xml:space="preserve">, Evolutionary Ecology Research 13:833–850 (</w:t>
      </w:r>
      <w:hyperlink r:id="rId23">
        <w:r>
          <w:rPr>
            <w:rStyle w:val="Hyperlink"/>
          </w:rPr>
          <w:t xml:space="preserve">EER</w:t>
        </w:r>
      </w:hyperlink>
      <w:r>
        <w:t xml:space="preserve">). "Davis 2005 GEB" could not be confirmed.</w:t>
      </w:r>
    </w:p>
    <w:p>
      <w:pPr>
        <w:numPr>
          <w:ilvl w:val="0"/>
          <w:numId w:val="1016"/>
        </w:numPr>
        <w:pStyle w:val="Compact"/>
      </w:pPr>
      <w:r>
        <w:rPr>
          <w:bCs/>
          <w:b/>
        </w:rPr>
        <w:t xml:space="preserve">Domingo et al. 2020 (Sci. Rep.)</w:t>
      </w:r>
      <w:r>
        <w:t xml:space="preserve"> </w:t>
      </w:r>
      <w:r>
        <w:t xml:space="preserve">is a stable-isotope study of Argentine Pampas mammals, not South American ecomorphs in North America (</w:t>
      </w:r>
      <w:hyperlink r:id="rId70">
        <w:r>
          <w:rPr>
            <w:rStyle w:val="Hyperlink"/>
          </w:rPr>
          <w:t xml:space="preserve">PMC6994648</w:t>
        </w:r>
      </w:hyperlink>
      <w:r>
        <w:t xml:space="preserve">).</w:t>
      </w:r>
    </w:p>
    <w:p>
      <w:pPr>
        <w:numPr>
          <w:ilvl w:val="0"/>
          <w:numId w:val="1016"/>
        </w:numPr>
        <w:pStyle w:val="Compact"/>
      </w:pPr>
      <w:r>
        <w:rPr>
          <w:bCs/>
          <w:b/>
        </w:rPr>
        <w:t xml:space="preserve">Yeakel et al. 2014 PNAS</w:t>
      </w:r>
      <w:r>
        <w:t xml:space="preserve"> </w:t>
      </w:r>
      <w:r>
        <w:t xml:space="preserve">is about Holocene Egyptian food webs, not Pleistocene ones. The mammoth-steppe food-web work is a separate paper (</w:t>
      </w:r>
      <w:hyperlink r:id="rId71">
        <w:r>
          <w:rPr>
            <w:rStyle w:val="Hyperlink"/>
          </w:rPr>
          <w:t xml:space="preserve">arXiv</w:t>
        </w:r>
      </w:hyperlink>
      <w:r>
        <w:t xml:space="preserve">). Verify the venue and year before citing.</w:t>
      </w:r>
    </w:p>
    <w:p>
      <w:pPr>
        <w:numPr>
          <w:ilvl w:val="0"/>
          <w:numId w:val="1016"/>
        </w:numPr>
        <w:pStyle w:val="Compact"/>
      </w:pPr>
      <w:r>
        <w:rPr>
          <w:bCs/>
          <w:b/>
        </w:rPr>
        <w:t xml:space="preserve">Brook et al. 2025</w:t>
      </w:r>
      <w:r>
        <w:t xml:space="preserve"> </w:t>
      </w:r>
      <w:r>
        <w:t xml:space="preserve">is now published in Biology Letters, not only a preprint.</w:t>
      </w:r>
    </w:p>
    <w:p>
      <w:pPr>
        <w:numPr>
          <w:ilvl w:val="0"/>
          <w:numId w:val="1016"/>
        </w:numPr>
        <w:pStyle w:val="Compact"/>
      </w:pPr>
      <w:r>
        <w:rPr>
          <w:bCs/>
          <w:b/>
        </w:rPr>
        <w:t xml:space="preserve">Shupinski et al. 2025</w:t>
      </w:r>
      <w:r>
        <w:t xml:space="preserve"> </w:t>
      </w:r>
      <w:r>
        <w:t xml:space="preserve">is Paleobiology 51(2):300–309.</w:t>
      </w:r>
    </w:p>
    <w:p>
      <w:pPr>
        <w:numPr>
          <w:ilvl w:val="0"/>
          <w:numId w:val="1016"/>
        </w:numPr>
        <w:pStyle w:val="Compact"/>
      </w:pPr>
      <w:r>
        <w:rPr>
          <w:bCs/>
          <w:b/>
        </w:rPr>
        <w:t xml:space="preserve">Keck et al. 2025</w:t>
      </w:r>
      <w:r>
        <w:t xml:space="preserve"> </w:t>
      </w:r>
      <w:r>
        <w:t xml:space="preserve">is confirmed as Nature 641:395–400.</w:t>
      </w:r>
    </w:p>
    <w:p>
      <w:pPr>
        <w:numPr>
          <w:ilvl w:val="0"/>
          <w:numId w:val="1016"/>
        </w:numPr>
        <w:pStyle w:val="Compact"/>
      </w:pPr>
      <w:r>
        <w:t xml:space="preserve">The ~2.5 Ma Florida</w:t>
      </w:r>
      <w:r>
        <w:t xml:space="preserve"> </w:t>
      </w:r>
      <w:r>
        <w:rPr>
          <w:iCs/>
          <w:i/>
        </w:rPr>
        <w:t xml:space="preserve">Mammuthus</w:t>
      </w:r>
      <w:r>
        <w:t xml:space="preserve"> </w:t>
      </w:r>
      <w:r>
        <w:t xml:space="preserve">record is reworked (</w:t>
      </w:r>
      <w:hyperlink r:id="rId32">
        <w:r>
          <w:rPr>
            <w:rStyle w:val="Hyperlink"/>
          </w:rPr>
          <w:t xml:space="preserve">MacFadden &amp; Hulbert 2009</w:t>
        </w:r>
      </w:hyperlink>
      <w:r>
        <w:t xml:space="preserve">).</w:t>
      </w:r>
    </w:p>
    <w:p>
      <w:pPr>
        <w:numPr>
          <w:ilvl w:val="0"/>
          <w:numId w:val="1016"/>
        </w:numPr>
        <w:pStyle w:val="Compact"/>
      </w:pPr>
      <w:r>
        <w:t xml:space="preserve">Fraser et al. 2014 is internally inconsistent about projected β change: Results report a slight increase, while the Discussion says no change. Cite it carefully.</w:t>
      </w:r>
    </w:p>
    <w:p>
      <w:pPr>
        <w:numPr>
          <w:ilvl w:val="0"/>
          <w:numId w:val="1016"/>
        </w:numPr>
        <w:pStyle w:val="Compact"/>
      </w:pPr>
      <w:r>
        <w:t xml:space="preserve">Unresolved:</w:t>
      </w:r>
    </w:p>
    <w:p>
      <w:pPr>
        <w:numPr>
          <w:ilvl w:val="1"/>
          <w:numId w:val="1017"/>
        </w:numPr>
        <w:pStyle w:val="Compact"/>
      </w:pPr>
      <w:r>
        <w:t xml:space="preserve">The venue of Carrillo et al. 2015 (Proc. R. Soc. B or Frontiers in Genetics;</w:t>
      </w:r>
      <w:r>
        <w:t xml:space="preserve"> </w:t>
      </w:r>
      <w:hyperlink r:id="rId72">
        <w:r>
          <w:rPr>
            <w:rStyle w:val="Hyperlink"/>
          </w:rPr>
          <w:t xml:space="preserve">PMC4283609</w:t>
        </w:r>
      </w:hyperlink>
      <w:r>
        <w:t xml:space="preserve">).</w:t>
      </w:r>
    </w:p>
    <w:p>
      <w:pPr>
        <w:numPr>
          <w:ilvl w:val="1"/>
          <w:numId w:val="1017"/>
        </w:numPr>
        <w:pStyle w:val="Compact"/>
      </w:pPr>
      <w:r>
        <w:t xml:space="preserve">The full author list of Blanco et al. 2025.</w:t>
      </w:r>
    </w:p>
    <w:p>
      <w:pPr>
        <w:numPr>
          <w:ilvl w:val="1"/>
          <w:numId w:val="1017"/>
        </w:numPr>
        <w:pStyle w:val="Compact"/>
      </w:pPr>
      <w:r>
        <w:t xml:space="preserve">The authorship of Middleton et al. 2020.</w:t>
      </w:r>
    </w:p>
    <w:bookmarkEnd w:id="73"/>
    <w:bookmarkStart w:id="74" w:name="conclusion"/>
    <w:p>
      <w:pPr>
        <w:pStyle w:val="Heading2"/>
      </w:pPr>
      <w:r>
        <w:t xml:space="preserve">Conclusion</w:t>
      </w:r>
    </w:p>
    <w:p>
      <w:pPr>
        <w:pStyle w:val="FirstParagraph"/>
      </w:pPr>
      <w:r>
        <w:t xml:space="preserve">The most valuable reframing is that Chapter 1's "null" result is a positive finding with a mechanism waiting to be named. The literature offers two opposite predictions for what an interchange does to regional faunas, and North America's grazer-driven provincial peak during the second GABI pulse is a natural experiment that can separate them. That is why the immigrant chapter should come first, and why the Florida Museum is the right place to do it.</w:t>
      </w:r>
    </w:p>
    <w:p>
      <w:pPr>
        <w:pStyle w:val="BodyText"/>
      </w:pPr>
      <w:r>
        <w:t xml:space="preserve">The deeper contribution of the dissertation is to move from asking</w:t>
      </w:r>
      <w:r>
        <w:t xml:space="preserve"> </w:t>
      </w:r>
      <w:r>
        <w:rPr>
          <w:iCs/>
          <w:i/>
        </w:rPr>
        <w:t xml:space="preserve">whether</w:t>
      </w:r>
      <w:r>
        <w:t xml:space="preserve"> </w:t>
      </w:r>
      <w:r>
        <w:t xml:space="preserve">faunas homogenized to explaining</w:t>
      </w:r>
      <w:r>
        <w:t xml:space="preserve"> </w:t>
      </w:r>
      <w:r>
        <w:rPr>
          <w:iCs/>
          <w:i/>
        </w:rPr>
        <w:t xml:space="preserve">what kind</w:t>
      </w:r>
      <w:r>
        <w:t xml:space="preserve"> </w:t>
      </w:r>
      <w:r>
        <w:t xml:space="preserve">of distinctiveness persisted (taxonomic, functional or phylogenetic),</w:t>
      </w:r>
      <w:r>
        <w:t xml:space="preserve"> </w:t>
      </w:r>
      <w:r>
        <w:rPr>
          <w:iCs/>
          <w:i/>
        </w:rPr>
        <w:t xml:space="preserve">what held it in place</w:t>
      </w:r>
      <w:r>
        <w:t xml:space="preserve">, and</w:t>
      </w:r>
      <w:r>
        <w:t xml:space="preserve"> </w:t>
      </w:r>
      <w:r>
        <w:rPr>
          <w:iCs/>
          <w:i/>
        </w:rPr>
        <w:t xml:space="preserve">what it cost</w:t>
      </w:r>
      <w:r>
        <w:t xml:space="preserve"> </w:t>
      </w:r>
      <w:r>
        <w:t xml:space="preserve">when extinction struck. Answering those questions gives conservation paleobiology something it currently lacks: a multi-million-year yardstick for judging whether today's continental faunas are unusually homogeneous.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w:cs="Helvetica" w:eastAsia="Helvetica" w:hAnsi="Helvetic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Helvetica" w:cs="Helvetica" w:eastAsia="Helvetica" w:hAnsi="Helvetic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Helvetica" w:cs="Helvetica" w:eastAsia="Helvetica" w:hAnsi="Helvetic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Helvetica" w:cs="Helvetica" w:eastAsia="Helvetica" w:hAnsi="Helvetic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Helvetica" w:cs="Helvetica" w:eastAsia="Helvetica" w:hAnsi="Helvetic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Helvetica" w:cs="Helvetica" w:eastAsia="Helvetica" w:hAnsi="Helvetic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Helvetica" w:cs="Helvetica" w:eastAsia="Helvetica" w:hAnsi="Helvetic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Helvetica" w:cs="Helvetica" w:eastAsia="Helvetica" w:hAnsi="Helvetic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Helvetica" w:cs="Helvetica" w:eastAsia="Helvetica" w:hAnsi="Helvetic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Helvetica" w:cs="Helvetica" w:eastAsia="Helvetica" w:hAnsi="Helvetic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Helvetica" w:cs="Helvetica" w:eastAsia="Helvetica" w:hAnsi="Helvetic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A94A6" w:space="0" w:sz="4" w:val="single"/>
        <w:left w:color="8A94A6" w:space="0" w:sz="4" w:val="single"/>
        <w:bottom w:color="8A94A6" w:space="0" w:sz="4" w:val="single"/>
        <w:right w:color="8A94A6" w:space="0" w:sz="4" w:val="single"/>
        <w:insideH w:color="8A94A6" w:space="0" w:sz="4" w:val="single"/>
        <w:insideV w:color="8A94A6" w:space="0" w:sz="4" w:val="single"/>
      </w:tblBorders>
      <w:tblCellMar>
        <w:top w:type="dxa" w:w="40"/>
        <w:left w:type="dxa" w:w="80"/>
        <w:bottom w:type="dxa" w:w="40"/>
        <w:right w:type="dxa" w:w="80"/>
      </w:tblCellMa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lvetica" w:cs="Helvetica" w:eastAsia="Helvetica" w:hAnsi="Helvetic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rxiv.org/html/1211.4911" TargetMode="External" /><Relationship Type="http://schemas.openxmlformats.org/officeDocument/2006/relationships/hyperlink" Id="rId27" Target="https://cris.iucc.ac.il/en/publications/palaeocene-eocene-evolution-of-beta-diversity-among-ungulate-mamm-2/" TargetMode="External" /><Relationship Type="http://schemas.openxmlformats.org/officeDocument/2006/relationships/hyperlink" Id="rId50" Target="https://datadryad.org/dataset/doi:10.5061/dryad.18931zczb" TargetMode="External" /><Relationship Type="http://schemas.openxmlformats.org/officeDocument/2006/relationships/hyperlink" Id="rId39" Target="https://datadryad.org/dataset/doi:10.5061/dryad.bp26v20" TargetMode="External" /><Relationship Type="http://schemas.openxmlformats.org/officeDocument/2006/relationships/hyperlink" Id="rId37" Target="https://digitalcommons.unl.edu/cgi/viewcontent.cgi?article=1750&amp;context=bioscifacpub" TargetMode="External" /><Relationship Type="http://schemas.openxmlformats.org/officeDocument/2006/relationships/hyperlink" Id="rId45" Target="https://digitalcommons.unl.edu/dissertations/AAI31294589" TargetMode="External" /><Relationship Type="http://schemas.openxmlformats.org/officeDocument/2006/relationships/hyperlink" Id="rId59" Target="https://doaj.org/article/077083cf157b4e61acaa195ef3fd744d" TargetMode="External" /><Relationship Type="http://schemas.openxmlformats.org/officeDocument/2006/relationships/hyperlink" Id="rId64" Target="https://docta.ucm.es/entities/publication/55707485-b2e8-4374-a124-5ba14347b61e/full" TargetMode="External" /><Relationship Type="http://schemas.openxmlformats.org/officeDocument/2006/relationships/hyperlink" Id="rId48" Target="https://eco.confex.com/eco/2011/webprogram/Paper31395.html" TargetMode="External" /><Relationship Type="http://schemas.openxmlformats.org/officeDocument/2006/relationships/hyperlink" Id="rId49" Target="https://ecoevorxiv.org/repository/view/8804/" TargetMode="External" /><Relationship Type="http://schemas.openxmlformats.org/officeDocument/2006/relationships/hyperlink" Id="rId63" Target="https://ecologia.ib.usp.br/guimaraes/papers/2020_PiresQSR.pdf" TargetMode="External" /><Relationship Type="http://schemas.openxmlformats.org/officeDocument/2006/relationships/hyperlink" Id="rId55" Target="https://eprints.whiterose.ac.uk/209974/1/sciadv.adj9395.pdf" TargetMode="External" /><Relationship Type="http://schemas.openxmlformats.org/officeDocument/2006/relationships/hyperlink" Id="rId30" Target="https://flmnhbulletin.com/index.php/flmnh/article/view/flmnh-vol45-no4-pp271-312" TargetMode="External" /><Relationship Type="http://schemas.openxmlformats.org/officeDocument/2006/relationships/hyperlink" Id="rId38" Target="https://gsa.confex.com/gsa/2010AM/webprogram/Paper179204.html" TargetMode="External" /><Relationship Type="http://schemas.openxmlformats.org/officeDocument/2006/relationships/hyperlink" Id="rId58" Target="https://hettingern.people.charleston.edu/150_Spring_2015/Donlan_Rewilding_North_America.htm" TargetMode="External" /><Relationship Type="http://schemas.openxmlformats.org/officeDocument/2006/relationships/hyperlink" Id="rId56" Target="https://ideas.repec.org/a/nat/nature/v641y2025i8062d10.1038_s41586-025-08752-2.html" TargetMode="External" /><Relationship Type="http://schemas.openxmlformats.org/officeDocument/2006/relationships/hyperlink" Id="rId22" Target="https://journals.plos.org/plosone/article?id=10.1371/journal.pone.0106499" TargetMode="External" /><Relationship Type="http://schemas.openxmlformats.org/officeDocument/2006/relationships/hyperlink" Id="rId42" Target="https://lyonslab.unl.edu/publications" TargetMode="External" /><Relationship Type="http://schemas.openxmlformats.org/officeDocument/2006/relationships/hyperlink" Id="rId69" Target="https://lyonslab.unl.edu/sites/unl.edu.cas.biological-sciences.lyons/files/media/file/LyonsCV_May%202024.pdf" TargetMode="External" /><Relationship Type="http://schemas.openxmlformats.org/officeDocument/2006/relationships/hyperlink" Id="rId65" Target="https://nsojournals.onlinelibrary.wiley.com/doi/pdfdirect/10.1111/ecog.05027" TargetMode="External" /><Relationship Type="http://schemas.openxmlformats.org/officeDocument/2006/relationships/hyperlink" Id="rId46" Target="https://onlinelibrary.wiley.com/doi/10.1111/geb.12021" TargetMode="External" /><Relationship Type="http://schemas.openxmlformats.org/officeDocument/2006/relationships/hyperlink" Id="rId61" Target="https://palaeo-electronica.org/2011_3/28_bell/shift.htm" TargetMode="External" /><Relationship Type="http://schemas.openxmlformats.org/officeDocument/2006/relationships/hyperlink" Id="rId24" Target="https://palaeobiology.web.ox.ac.uk/node/3685881" TargetMode="External" /><Relationship Type="http://schemas.openxmlformats.org/officeDocument/2006/relationships/hyperlink" Id="rId40" Target="https://par.nsf.gov/servlets/purl/10520476" TargetMode="External" /><Relationship Type="http://schemas.openxmlformats.org/officeDocument/2006/relationships/hyperlink" Id="rId20" Target="https://par.nsf.gov/servlets/purl/10562210" TargetMode="External" /><Relationship Type="http://schemas.openxmlformats.org/officeDocument/2006/relationships/hyperlink" Id="rId31" Target="https://pmc.ncbi.nlm.nih.gov/articles/PMC5380028" TargetMode="External" /><Relationship Type="http://schemas.openxmlformats.org/officeDocument/2006/relationships/hyperlink" Id="rId52" Target="https://pmc.ncbi.nlm.nih.gov/articles/PMC6233254" TargetMode="External" /><Relationship Type="http://schemas.openxmlformats.org/officeDocument/2006/relationships/hyperlink" Id="rId33" Target="https://pmc.ncbi.nlm.nih.gov/articles/PMC6853231" TargetMode="External" /><Relationship Type="http://schemas.openxmlformats.org/officeDocument/2006/relationships/hyperlink" Id="rId28" Target="https://public.magnet.fsu.edu/AToth/NSF%20publication%20access/2026/07%20Newly%20Entered%20Pubs%20July%202026/2026%20cited/2026_A%2010-million-year%20biogeographic%20holding%20pen.pdf" TargetMode="External" /><Relationship Type="http://schemas.openxmlformats.org/officeDocument/2006/relationships/hyperlink" Id="rId44" Target="https://run.unl.pt/bitstream/10362/185859/1/s41467-025-59974-x.pdf" TargetMode="External" /><Relationship Type="http://schemas.openxmlformats.org/officeDocument/2006/relationships/hyperlink" Id="rId29" Target="https://www.cambridge.org/core/journals/paleobiology/article/different-mammals-same-structure-cooccurrence-structure-across-the-pliopleistocene-transition/69AE34C62E5C43F55A2405F687F10566" TargetMode="External" /><Relationship Type="http://schemas.openxmlformats.org/officeDocument/2006/relationships/hyperlink" Id="rId32" Target="https://www.cambridge.org/core/journals/quaternary-research/article/abs/calibration-of-mammoth-mammuthus-dispersal-into-north-america-using-rare-earth-elements-of-pliopleistocene-mammals-from-florida/86478DF6BE23B5B5409967FC0FC2F5FD" TargetMode="External" /><Relationship Type="http://schemas.openxmlformats.org/officeDocument/2006/relationships/hyperlink" Id="rId41" Target="https://www.cambridge.org/core/product/EC2ACB78BCAF8AEDB53C3635B0844502" TargetMode="External" /><Relationship Type="http://schemas.openxmlformats.org/officeDocument/2006/relationships/hyperlink" Id="rId35" Target="https://www.evolutionary-ecology.com/abstracts/v06/1499.html" TargetMode="External" /><Relationship Type="http://schemas.openxmlformats.org/officeDocument/2006/relationships/hyperlink" Id="rId36" Target="https://www.evolutionary-ecology.com/abstracts/v12/2416.html" TargetMode="External" /><Relationship Type="http://schemas.openxmlformats.org/officeDocument/2006/relationships/hyperlink" Id="rId23" Target="https://www.evolutionary-ecology.com/abstracts/v13/2648.html" TargetMode="External" /><Relationship Type="http://schemas.openxmlformats.org/officeDocument/2006/relationships/hyperlink" Id="rId26" Target="https://www.geosociety.org/gsatoday/archive/22/1/article/i1052-5173-22-1-4.htm" TargetMode="External" /><Relationship Type="http://schemas.openxmlformats.org/officeDocument/2006/relationships/hyperlink" Id="rId51" Target="https://www.mcguire.gatech.edu/wp-content/uploads/2017/08/Badgley-et-al-2017-Biodiversity-and-Topographic-Complexity.pdf" TargetMode="External" /><Relationship Type="http://schemas.openxmlformats.org/officeDocument/2006/relationships/hyperlink" Id="rId21" Target="https://www.nature.com/articles/s41467-022-31595-8" TargetMode="External" /><Relationship Type="http://schemas.openxmlformats.org/officeDocument/2006/relationships/hyperlink" Id="rId72" Target="https://www.ncbi.nlm.nih.gov/pmc/articles/PMC4283609/" TargetMode="External" /><Relationship Type="http://schemas.openxmlformats.org/officeDocument/2006/relationships/hyperlink" Id="rId70" Target="https://www.ncbi.nlm.nih.gov/pmc/articles/PMC6994648/" TargetMode="External" /><Relationship Type="http://schemas.openxmlformats.org/officeDocument/2006/relationships/hyperlink" Id="rId57" Target="https://www.ncbi.nlm.nih.gov/pmc/articles/PMC7935024/" TargetMode="External" /><Relationship Type="http://schemas.openxmlformats.org/officeDocument/2006/relationships/hyperlink" Id="rId53" Target="https://www.ncbi.nlm.nih.gov/pmc/articles/PMC9385654/" TargetMode="External" /><Relationship Type="http://schemas.openxmlformats.org/officeDocument/2006/relationships/hyperlink" Id="rId62" Target="https://www.uvm.edu/~ngotelli/manuscriptpdfs/Fraser_NatComm_2022.pdf"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html/1211.4911" TargetMode="External" /><Relationship Type="http://schemas.openxmlformats.org/officeDocument/2006/relationships/hyperlink" Id="rId27" Target="https://cris.iucc.ac.il/en/publications/palaeocene-eocene-evolution-of-beta-diversity-among-ungulate-mamm-2/" TargetMode="External" /><Relationship Type="http://schemas.openxmlformats.org/officeDocument/2006/relationships/hyperlink" Id="rId50" Target="https://datadryad.org/dataset/doi:10.5061/dryad.18931zczb" TargetMode="External" /><Relationship Type="http://schemas.openxmlformats.org/officeDocument/2006/relationships/hyperlink" Id="rId39" Target="https://datadryad.org/dataset/doi:10.5061/dryad.bp26v20" TargetMode="External" /><Relationship Type="http://schemas.openxmlformats.org/officeDocument/2006/relationships/hyperlink" Id="rId37" Target="https://digitalcommons.unl.edu/cgi/viewcontent.cgi?article=1750&amp;context=bioscifacpub" TargetMode="External" /><Relationship Type="http://schemas.openxmlformats.org/officeDocument/2006/relationships/hyperlink" Id="rId45" Target="https://digitalcommons.unl.edu/dissertations/AAI31294589" TargetMode="External" /><Relationship Type="http://schemas.openxmlformats.org/officeDocument/2006/relationships/hyperlink" Id="rId59" Target="https://doaj.org/article/077083cf157b4e61acaa195ef3fd744d" TargetMode="External" /><Relationship Type="http://schemas.openxmlformats.org/officeDocument/2006/relationships/hyperlink" Id="rId64" Target="https://docta.ucm.es/entities/publication/55707485-b2e8-4374-a124-5ba14347b61e/full" TargetMode="External" /><Relationship Type="http://schemas.openxmlformats.org/officeDocument/2006/relationships/hyperlink" Id="rId48" Target="https://eco.confex.com/eco/2011/webprogram/Paper31395.html" TargetMode="External" /><Relationship Type="http://schemas.openxmlformats.org/officeDocument/2006/relationships/hyperlink" Id="rId49" Target="https://ecoevorxiv.org/repository/view/8804/" TargetMode="External" /><Relationship Type="http://schemas.openxmlformats.org/officeDocument/2006/relationships/hyperlink" Id="rId63" Target="https://ecologia.ib.usp.br/guimaraes/papers/2020_PiresQSR.pdf" TargetMode="External" /><Relationship Type="http://schemas.openxmlformats.org/officeDocument/2006/relationships/hyperlink" Id="rId55" Target="https://eprints.whiterose.ac.uk/209974/1/sciadv.adj9395.pdf" TargetMode="External" /><Relationship Type="http://schemas.openxmlformats.org/officeDocument/2006/relationships/hyperlink" Id="rId30" Target="https://flmnhbulletin.com/index.php/flmnh/article/view/flmnh-vol45-no4-pp271-312" TargetMode="External" /><Relationship Type="http://schemas.openxmlformats.org/officeDocument/2006/relationships/hyperlink" Id="rId38" Target="https://gsa.confex.com/gsa/2010AM/webprogram/Paper179204.html" TargetMode="External" /><Relationship Type="http://schemas.openxmlformats.org/officeDocument/2006/relationships/hyperlink" Id="rId58" Target="https://hettingern.people.charleston.edu/150_Spring_2015/Donlan_Rewilding_North_America.htm" TargetMode="External" /><Relationship Type="http://schemas.openxmlformats.org/officeDocument/2006/relationships/hyperlink" Id="rId56" Target="https://ideas.repec.org/a/nat/nature/v641y2025i8062d10.1038_s41586-025-08752-2.html" TargetMode="External" /><Relationship Type="http://schemas.openxmlformats.org/officeDocument/2006/relationships/hyperlink" Id="rId22" Target="https://journals.plos.org/plosone/article?id=10.1371/journal.pone.0106499" TargetMode="External" /><Relationship Type="http://schemas.openxmlformats.org/officeDocument/2006/relationships/hyperlink" Id="rId42" Target="https://lyonslab.unl.edu/publications" TargetMode="External" /><Relationship Type="http://schemas.openxmlformats.org/officeDocument/2006/relationships/hyperlink" Id="rId69" Target="https://lyonslab.unl.edu/sites/unl.edu.cas.biological-sciences.lyons/files/media/file/LyonsCV_May%202024.pdf" TargetMode="External" /><Relationship Type="http://schemas.openxmlformats.org/officeDocument/2006/relationships/hyperlink" Id="rId65" Target="https://nsojournals.onlinelibrary.wiley.com/doi/pdfdirect/10.1111/ecog.05027" TargetMode="External" /><Relationship Type="http://schemas.openxmlformats.org/officeDocument/2006/relationships/hyperlink" Id="rId46" Target="https://onlinelibrary.wiley.com/doi/10.1111/geb.12021" TargetMode="External" /><Relationship Type="http://schemas.openxmlformats.org/officeDocument/2006/relationships/hyperlink" Id="rId61" Target="https://palaeo-electronica.org/2011_3/28_bell/shift.htm" TargetMode="External" /><Relationship Type="http://schemas.openxmlformats.org/officeDocument/2006/relationships/hyperlink" Id="rId24" Target="https://palaeobiology.web.ox.ac.uk/node/3685881" TargetMode="External" /><Relationship Type="http://schemas.openxmlformats.org/officeDocument/2006/relationships/hyperlink" Id="rId40" Target="https://par.nsf.gov/servlets/purl/10520476" TargetMode="External" /><Relationship Type="http://schemas.openxmlformats.org/officeDocument/2006/relationships/hyperlink" Id="rId20" Target="https://par.nsf.gov/servlets/purl/10562210" TargetMode="External" /><Relationship Type="http://schemas.openxmlformats.org/officeDocument/2006/relationships/hyperlink" Id="rId31" Target="https://pmc.ncbi.nlm.nih.gov/articles/PMC5380028" TargetMode="External" /><Relationship Type="http://schemas.openxmlformats.org/officeDocument/2006/relationships/hyperlink" Id="rId52" Target="https://pmc.ncbi.nlm.nih.gov/articles/PMC6233254" TargetMode="External" /><Relationship Type="http://schemas.openxmlformats.org/officeDocument/2006/relationships/hyperlink" Id="rId33" Target="https://pmc.ncbi.nlm.nih.gov/articles/PMC6853231" TargetMode="External" /><Relationship Type="http://schemas.openxmlformats.org/officeDocument/2006/relationships/hyperlink" Id="rId28" Target="https://public.magnet.fsu.edu/AToth/NSF%20publication%20access/2026/07%20Newly%20Entered%20Pubs%20July%202026/2026%20cited/2026_A%2010-million-year%20biogeographic%20holding%20pen.pdf" TargetMode="External" /><Relationship Type="http://schemas.openxmlformats.org/officeDocument/2006/relationships/hyperlink" Id="rId44" Target="https://run.unl.pt/bitstream/10362/185859/1/s41467-025-59974-x.pdf" TargetMode="External" /><Relationship Type="http://schemas.openxmlformats.org/officeDocument/2006/relationships/hyperlink" Id="rId29" Target="https://www.cambridge.org/core/journals/paleobiology/article/different-mammals-same-structure-cooccurrence-structure-across-the-pliopleistocene-transition/69AE34C62E5C43F55A2405F687F10566" TargetMode="External" /><Relationship Type="http://schemas.openxmlformats.org/officeDocument/2006/relationships/hyperlink" Id="rId32" Target="https://www.cambridge.org/core/journals/quaternary-research/article/abs/calibration-of-mammoth-mammuthus-dispersal-into-north-america-using-rare-earth-elements-of-pliopleistocene-mammals-from-florida/86478DF6BE23B5B5409967FC0FC2F5FD" TargetMode="External" /><Relationship Type="http://schemas.openxmlformats.org/officeDocument/2006/relationships/hyperlink" Id="rId41" Target="https://www.cambridge.org/core/product/EC2ACB78BCAF8AEDB53C3635B0844502" TargetMode="External" /><Relationship Type="http://schemas.openxmlformats.org/officeDocument/2006/relationships/hyperlink" Id="rId35" Target="https://www.evolutionary-ecology.com/abstracts/v06/1499.html" TargetMode="External" /><Relationship Type="http://schemas.openxmlformats.org/officeDocument/2006/relationships/hyperlink" Id="rId36" Target="https://www.evolutionary-ecology.com/abstracts/v12/2416.html" TargetMode="External" /><Relationship Type="http://schemas.openxmlformats.org/officeDocument/2006/relationships/hyperlink" Id="rId23" Target="https://www.evolutionary-ecology.com/abstracts/v13/2648.html" TargetMode="External" /><Relationship Type="http://schemas.openxmlformats.org/officeDocument/2006/relationships/hyperlink" Id="rId26" Target="https://www.geosociety.org/gsatoday/archive/22/1/article/i1052-5173-22-1-4.htm" TargetMode="External" /><Relationship Type="http://schemas.openxmlformats.org/officeDocument/2006/relationships/hyperlink" Id="rId51" Target="https://www.mcguire.gatech.edu/wp-content/uploads/2017/08/Badgley-et-al-2017-Biodiversity-and-Topographic-Complexity.pdf" TargetMode="External" /><Relationship Type="http://schemas.openxmlformats.org/officeDocument/2006/relationships/hyperlink" Id="rId21" Target="https://www.nature.com/articles/s41467-022-31595-8" TargetMode="External" /><Relationship Type="http://schemas.openxmlformats.org/officeDocument/2006/relationships/hyperlink" Id="rId72" Target="https://www.ncbi.nlm.nih.gov/pmc/articles/PMC4283609/" TargetMode="External" /><Relationship Type="http://schemas.openxmlformats.org/officeDocument/2006/relationships/hyperlink" Id="rId70" Target="https://www.ncbi.nlm.nih.gov/pmc/articles/PMC6994648/" TargetMode="External" /><Relationship Type="http://schemas.openxmlformats.org/officeDocument/2006/relationships/hyperlink" Id="rId57" Target="https://www.ncbi.nlm.nih.gov/pmc/articles/PMC7935024/" TargetMode="External" /><Relationship Type="http://schemas.openxmlformats.org/officeDocument/2006/relationships/hyperlink" Id="rId53" Target="https://www.ncbi.nlm.nih.gov/pmc/articles/PMC9385654/" TargetMode="External" /><Relationship Type="http://schemas.openxmlformats.org/officeDocument/2006/relationships/hyperlink" Id="rId62" Target="https://www.uvm.edu/~ngotelli/manuscriptpdfs/Fraser_NatComm_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2026-10-17T03:44:01Z</dcterms:created>
  <dcterms:modified xsi:type="dcterms:W3CDTF">2026-10-17T03:44:01Z</dcterms:modified>
</cp:coreProperties>
</file>

<file path=docProps/custom.xml><?xml version="1.0" encoding="utf-8"?>
<Properties xmlns="http://schemas.openxmlformats.org/officeDocument/2006/custom-properties" xmlns:vt="http://schemas.openxmlformats.org/officeDocument/2006/docPropsVTypes"/>
</file>