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0"/>
        </w:rPr>
        <w:t>GTD Attack Success Prediction</w:t>
      </w:r>
    </w:p>
    <w:p>
      <w:pPr>
        <w:jc w:val="center"/>
      </w:pPr>
      <w:r>
        <w:rPr>
          <w:i/>
          <w:sz w:val="24"/>
        </w:rPr>
        <w:t>Groupmate Guide to the Model, Notebook, and Results</w:t>
      </w:r>
    </w:p>
    <w:p>
      <w:r>
        <w:t>This document summarizes the final notebook workflow and the machine-learning models used in the project. It is meant to help groupmates understand what the notebook does, why each step exists, and how to explain the results in the paper or presentation.</w:t>
      </w:r>
    </w:p>
    <w:p>
      <w:pPr>
        <w:pStyle w:val="Heading1"/>
      </w:pPr>
      <w:r>
        <w:t>1. Project Goal in Simple Terms</w:t>
      </w:r>
    </w:p>
    <w:p>
      <w:r>
        <w:t>The project predicts whether a recorded incident in the Global Terrorism Database (GTD) is marked as successful. The target variable is the GTD success field, coded as 1 for success and 0 for failure. The main goal is not only to maximize a score, but to compare different model types under a realistic forward-looking setup.</w:t>
      </w:r>
    </w:p>
    <w:p>
      <w:pPr>
        <w:pStyle w:val="ListBullet"/>
      </w:pPr>
      <w:r>
        <w:t>Main dataset: Global Terrorism Database main workbook plus the separate Jan-June 2021 supplement.</w:t>
      </w:r>
    </w:p>
    <w:p>
      <w:pPr>
        <w:pStyle w:val="ListBullet"/>
      </w:pPr>
      <w:r>
        <w:t>Main task: binary classification of attack success.</w:t>
      </w:r>
    </w:p>
    <w:p>
      <w:pPr>
        <w:pStyle w:val="ListBullet"/>
      </w:pPr>
      <w:r>
        <w:t>Main evaluation design: temporal split, where older events train the model and later events test it.</w:t>
      </w:r>
    </w:p>
    <w:p>
      <w:pPr>
        <w:pStyle w:val="ListBullet"/>
      </w:pPr>
      <w:r>
        <w:t>Main proposed model: GTD-FocalResNet, a residual focal-loss neural network for imbalanced tabular prediction.</w:t>
      </w:r>
    </w:p>
    <w:p>
      <w:pPr>
        <w:pStyle w:val="Heading1"/>
      </w:pPr>
      <w:r>
        <w:t>2. Important Project Files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sz w:val="18"/>
              </w:rPr>
              <w:t>File or Folder</w:t>
            </w:r>
          </w:p>
        </w:tc>
        <w:tc>
          <w:tcPr>
            <w:tcW w:type="dxa" w:w="4968"/>
            <w:vAlign w:val="center"/>
            <w:shd w:fill="D9EAF7"/>
          </w:tcPr>
          <w:p>
            <w:r>
              <w:rPr>
                <w:b/>
                <w:sz w:val="18"/>
              </w:rPr>
              <w:t>Purpose</w:t>
            </w:r>
          </w:p>
        </w:tc>
      </w:tr>
      <w:tr>
        <w:tc>
          <w:tcPr>
            <w:tcW w:type="dxa" w:w="4968"/>
            <w:vAlign w:val="center"/>
          </w:tcPr>
          <w:p>
            <w:r>
              <w:rPr>
                <w:b w:val="0"/>
                <w:sz w:val="18"/>
              </w:rPr>
              <w:t>notebooks/3CSD_Group 8_Implementation.ipynb</w:t>
            </w:r>
          </w:p>
        </w:tc>
        <w:tc>
          <w:tcPr>
            <w:tcW w:type="dxa" w:w="4968"/>
            <w:vAlign w:val="center"/>
          </w:tcPr>
          <w:p>
            <w:r>
              <w:rPr>
                <w:b w:val="0"/>
                <w:sz w:val="18"/>
              </w:rPr>
              <w:t>Main self-contained notebook for final implementation. Does not rely on src helpers.</w:t>
            </w:r>
          </w:p>
        </w:tc>
      </w:tr>
      <w:tr>
        <w:tc>
          <w:tcPr>
            <w:tcW w:type="dxa" w:w="4968"/>
            <w:vAlign w:val="center"/>
          </w:tcPr>
          <w:p>
            <w:r>
              <w:rPr>
                <w:b w:val="0"/>
                <w:sz w:val="18"/>
              </w:rPr>
              <w:t>paper/GTD_Attack_Success_Manuscript.docx</w:t>
            </w:r>
          </w:p>
        </w:tc>
        <w:tc>
          <w:tcPr>
            <w:tcW w:type="dxa" w:w="4968"/>
            <w:vAlign w:val="center"/>
          </w:tcPr>
          <w:p>
            <w:r>
              <w:rPr>
                <w:b w:val="0"/>
                <w:sz w:val="18"/>
              </w:rPr>
              <w:t>Main manuscript/paper.</w:t>
            </w:r>
          </w:p>
        </w:tc>
      </w:tr>
      <w:tr>
        <w:tc>
          <w:tcPr>
            <w:tcW w:type="dxa" w:w="4968"/>
            <w:vAlign w:val="center"/>
          </w:tcPr>
          <w:p>
            <w:r>
              <w:rPr>
                <w:b w:val="0"/>
                <w:sz w:val="18"/>
              </w:rPr>
              <w:t>data/raw/</w:t>
            </w:r>
          </w:p>
        </w:tc>
        <w:tc>
          <w:tcPr>
            <w:tcW w:type="dxa" w:w="4968"/>
            <w:vAlign w:val="center"/>
          </w:tcPr>
          <w:p>
            <w:r>
              <w:rPr>
                <w:b w:val="0"/>
                <w:sz w:val="18"/>
              </w:rPr>
              <w:t>Where raw GTD files should be placed or downloaded.</w:t>
            </w:r>
          </w:p>
        </w:tc>
      </w:tr>
      <w:tr>
        <w:tc>
          <w:tcPr>
            <w:tcW w:type="dxa" w:w="4968"/>
            <w:vAlign w:val="center"/>
          </w:tcPr>
          <w:p>
            <w:r>
              <w:rPr>
                <w:b w:val="0"/>
                <w:sz w:val="18"/>
              </w:rPr>
              <w:t>data/processed/</w:t>
            </w:r>
          </w:p>
        </w:tc>
        <w:tc>
          <w:tcPr>
            <w:tcW w:type="dxa" w:w="4968"/>
            <w:vAlign w:val="center"/>
          </w:tcPr>
          <w:p>
            <w:r>
              <w:rPr>
                <w:b w:val="0"/>
                <w:sz w:val="18"/>
              </w:rPr>
              <w:t>Where the cleaned cached dataset is saved for faster reruns.</w:t>
            </w:r>
          </w:p>
        </w:tc>
      </w:tr>
      <w:tr>
        <w:tc>
          <w:tcPr>
            <w:tcW w:type="dxa" w:w="4968"/>
            <w:vAlign w:val="center"/>
          </w:tcPr>
          <w:p>
            <w:r>
              <w:rPr>
                <w:b w:val="0"/>
                <w:sz w:val="18"/>
              </w:rPr>
              <w:t>results/light_reproducible/&lt;split_mode&gt;/tables/</w:t>
            </w:r>
          </w:p>
        </w:tc>
        <w:tc>
          <w:tcPr>
            <w:tcW w:type="dxa" w:w="4968"/>
            <w:vAlign w:val="center"/>
          </w:tcPr>
          <w:p>
            <w:r>
              <w:rPr>
                <w:b w:val="0"/>
                <w:sz w:val="18"/>
              </w:rPr>
              <w:t>Saved score tables, learning curve tables, and feature importance tables.</w:t>
            </w:r>
          </w:p>
        </w:tc>
      </w:tr>
      <w:tr>
        <w:tc>
          <w:tcPr>
            <w:tcW w:type="dxa" w:w="4968"/>
            <w:vAlign w:val="center"/>
          </w:tcPr>
          <w:p>
            <w:r>
              <w:rPr>
                <w:b w:val="0"/>
                <w:sz w:val="18"/>
              </w:rPr>
              <w:t>results/light_reproducible/&lt;split_mode&gt;/figures/</w:t>
            </w:r>
          </w:p>
        </w:tc>
        <w:tc>
          <w:tcPr>
            <w:tcW w:type="dxa" w:w="4968"/>
            <w:vAlign w:val="center"/>
          </w:tcPr>
          <w:p>
            <w:r>
              <w:rPr>
                <w:b w:val="0"/>
                <w:sz w:val="18"/>
              </w:rPr>
              <w:t>Saved confusion matrices, learning curves, and feature importance figures.</w:t>
            </w:r>
          </w:p>
        </w:tc>
      </w:tr>
      <w:tr>
        <w:tc>
          <w:tcPr>
            <w:tcW w:type="dxa" w:w="4968"/>
            <w:vAlign w:val="center"/>
          </w:tcPr>
          <w:p>
            <w:r>
              <w:rPr>
                <w:b w:val="0"/>
                <w:sz w:val="18"/>
              </w:rPr>
              <w:t>models/light_reproducible/&lt;split_mode&gt;/</w:t>
            </w:r>
          </w:p>
        </w:tc>
        <w:tc>
          <w:tcPr>
            <w:tcW w:type="dxa" w:w="4968"/>
            <w:vAlign w:val="center"/>
          </w:tcPr>
          <w:p>
            <w:r>
              <w:rPr>
                <w:b w:val="0"/>
                <w:sz w:val="18"/>
              </w:rPr>
              <w:t>Saved trained models. Sklearn/tree models are .joblib; PyTorch models are .pt checkpoints.</w:t>
            </w:r>
          </w:p>
        </w:tc>
      </w:tr>
    </w:tbl>
    <w:p>
      <w:pPr>
        <w:pStyle w:val="Heading1"/>
      </w:pPr>
      <w:r>
        <w:t>3. Notebook Flow</w:t>
      </w:r>
    </w:p>
    <w:p>
      <w:r>
        <w:t>The notebook is intentionally split into clear sections so it is easier to troubleshoot and explain.</w:t>
      </w:r>
    </w:p>
    <w:p>
      <w:pPr>
        <w:pStyle w:val="ListNumber"/>
      </w:pPr>
      <w:r>
        <w:t>Imports: loads Python packages such as pandas, scikit-learn, XGBoost, and PyTorch.</w:t>
      </w:r>
    </w:p>
    <w:p>
      <w:pPr>
        <w:pStyle w:val="ListNumber"/>
      </w:pPr>
      <w:r>
        <w:t>Configs: sets switches such as SPLIT_MODE, TRAINING_PROFILE, cache behavior, download behavior, and whether to run learning curves or feature importance.</w:t>
      </w:r>
    </w:p>
    <w:p>
      <w:pPr>
        <w:pStyle w:val="ListNumber"/>
      </w:pPr>
      <w:r>
        <w:t>Remaining setup/helpers: creates paths, defines feature lists, defines data loading, preprocessing, scoring, and model helper functions.</w:t>
      </w:r>
    </w:p>
    <w:p>
      <w:pPr>
        <w:pStyle w:val="ListNumber"/>
      </w:pPr>
      <w:r>
        <w:t>Download or verify raw dataset: checks whether the raw GTD files are already present; optionally downloads them from the direct links if enabled.</w:t>
      </w:r>
    </w:p>
    <w:p>
      <w:pPr>
        <w:pStyle w:val="ListNumber"/>
      </w:pPr>
      <w:r>
        <w:t>Clean/cache/split data: loads the cleaned cache if available; otherwise reads raw files, cleans selected columns, saves the cache, and creates train/validation/test splits.</w:t>
      </w:r>
    </w:p>
    <w:p>
      <w:pPr>
        <w:pStyle w:val="ListNumber"/>
      </w:pPr>
      <w:r>
        <w:t>Model definitions: defines Logistic Regression, CART, XGBoost, Feedforward NN, and GTD-FocalResNet.</w:t>
      </w:r>
    </w:p>
    <w:p>
      <w:pPr>
        <w:pStyle w:val="ListNumber"/>
      </w:pPr>
      <w:r>
        <w:t>Training and scoring: trains all models, saves them, and writes score tables.</w:t>
      </w:r>
    </w:p>
    <w:p>
      <w:pPr>
        <w:pStyle w:val="ListNumber"/>
      </w:pPr>
      <w:r>
        <w:t>Confusion matrices: visualizes true/false positives and true/false negatives for all models.</w:t>
      </w:r>
    </w:p>
    <w:p>
      <w:pPr>
        <w:pStyle w:val="ListNumber"/>
      </w:pPr>
      <w:r>
        <w:t>Learning curves: retrains models on increasing training sizes to compare training and validation behavior.</w:t>
      </w:r>
    </w:p>
    <w:p>
      <w:pPr>
        <w:pStyle w:val="ListNumber"/>
      </w:pPr>
      <w:r>
        <w:t>Permutation feature importance: identifies which original features most affect each model’s F1 score.</w:t>
      </w:r>
    </w:p>
    <w:p>
      <w:pPr>
        <w:pStyle w:val="Heading1"/>
      </w:pPr>
      <w:r>
        <w:t>4. Main Configuration Switches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sz w:val="18"/>
              </w:rPr>
              <w:t>Switch</w:t>
            </w:r>
          </w:p>
        </w:tc>
        <w:tc>
          <w:tcPr>
            <w:tcW w:type="dxa" w:w="4968"/>
            <w:vAlign w:val="center"/>
            <w:shd w:fill="D9EAF7"/>
          </w:tcPr>
          <w:p>
            <w:r>
              <w:rPr>
                <w:b/>
                <w:sz w:val="18"/>
              </w:rPr>
              <w:t>Meaning</w:t>
            </w:r>
          </w:p>
        </w:tc>
      </w:tr>
      <w:tr>
        <w:tc>
          <w:tcPr>
            <w:tcW w:type="dxa" w:w="4968"/>
            <w:vAlign w:val="center"/>
          </w:tcPr>
          <w:p>
            <w:r>
              <w:rPr>
                <w:b w:val="0"/>
                <w:sz w:val="18"/>
              </w:rPr>
              <w:t>SPLIT_MODE = "temporal"</w:t>
            </w:r>
          </w:p>
        </w:tc>
        <w:tc>
          <w:tcPr>
            <w:tcW w:type="dxa" w:w="4968"/>
            <w:vAlign w:val="center"/>
          </w:tcPr>
          <w:p>
            <w:r>
              <w:rPr>
                <w:b w:val="0"/>
                <w:sz w:val="18"/>
              </w:rPr>
              <w:t>Main setting. Trains on earlier years and tests on later years.</w:t>
            </w:r>
          </w:p>
        </w:tc>
      </w:tr>
      <w:tr>
        <w:tc>
          <w:tcPr>
            <w:tcW w:type="dxa" w:w="4968"/>
            <w:vAlign w:val="center"/>
          </w:tcPr>
          <w:p>
            <w:r>
              <w:rPr>
                <w:b w:val="0"/>
                <w:sz w:val="18"/>
              </w:rPr>
              <w:t>SPLIT_MODE = "random"</w:t>
            </w:r>
          </w:p>
        </w:tc>
        <w:tc>
          <w:tcPr>
            <w:tcW w:type="dxa" w:w="4968"/>
            <w:vAlign w:val="center"/>
          </w:tcPr>
          <w:p>
            <w:r>
              <w:rPr>
                <w:b w:val="0"/>
                <w:sz w:val="18"/>
              </w:rPr>
              <w:t>Comparison setting. Randomly mixes years across train/validation/test. Easier but less realistic.</w:t>
            </w:r>
          </w:p>
        </w:tc>
      </w:tr>
      <w:tr>
        <w:tc>
          <w:tcPr>
            <w:tcW w:type="dxa" w:w="4968"/>
            <w:vAlign w:val="center"/>
          </w:tcPr>
          <w:p>
            <w:r>
              <w:rPr>
                <w:b w:val="0"/>
                <w:sz w:val="18"/>
              </w:rPr>
              <w:t>TRAINING_PROFILE = "submission"</w:t>
            </w:r>
          </w:p>
        </w:tc>
        <w:tc>
          <w:tcPr>
            <w:tcW w:type="dxa" w:w="4968"/>
            <w:vAlign w:val="center"/>
          </w:tcPr>
          <w:p>
            <w:r>
              <w:rPr>
                <w:b w:val="0"/>
                <w:sz w:val="18"/>
              </w:rPr>
              <w:t>Lighter and faster profile for reproducible notebook submission.</w:t>
            </w:r>
          </w:p>
        </w:tc>
      </w:tr>
      <w:tr>
        <w:tc>
          <w:tcPr>
            <w:tcW w:type="dxa" w:w="4968"/>
            <w:vAlign w:val="center"/>
          </w:tcPr>
          <w:p>
            <w:r>
              <w:rPr>
                <w:b w:val="0"/>
                <w:sz w:val="18"/>
              </w:rPr>
              <w:t>TRAINING_PROFILE = "max"</w:t>
            </w:r>
          </w:p>
        </w:tc>
        <w:tc>
          <w:tcPr>
            <w:tcW w:type="dxa" w:w="4968"/>
            <w:vAlign w:val="center"/>
          </w:tcPr>
          <w:p>
            <w:r>
              <w:rPr>
                <w:b w:val="0"/>
                <w:sz w:val="18"/>
              </w:rPr>
              <w:t>Heavier profile: more epochs, more XGBoost trees, more learning-curve points, and more stable feature importance.</w:t>
            </w:r>
          </w:p>
        </w:tc>
      </w:tr>
      <w:tr>
        <w:tc>
          <w:tcPr>
            <w:tcW w:type="dxa" w:w="4968"/>
            <w:vAlign w:val="center"/>
          </w:tcPr>
          <w:p>
            <w:r>
              <w:rPr>
                <w:b w:val="0"/>
                <w:sz w:val="18"/>
              </w:rPr>
              <w:t>CACHE_DATA = True</w:t>
            </w:r>
          </w:p>
        </w:tc>
        <w:tc>
          <w:tcPr>
            <w:tcW w:type="dxa" w:w="4968"/>
            <w:vAlign w:val="center"/>
          </w:tcPr>
          <w:p>
            <w:r>
              <w:rPr>
                <w:b w:val="0"/>
                <w:sz w:val="18"/>
              </w:rPr>
              <w:t>Saves/loads a cleaned dataset cache so reruns do not repeatedly parse large Excel files.</w:t>
            </w:r>
          </w:p>
        </w:tc>
      </w:tr>
      <w:tr>
        <w:tc>
          <w:tcPr>
            <w:tcW w:type="dxa" w:w="4968"/>
            <w:vAlign w:val="center"/>
          </w:tcPr>
          <w:p>
            <w:r>
              <w:rPr>
                <w:b w:val="0"/>
                <w:sz w:val="18"/>
              </w:rPr>
              <w:t>REBUILD_DATA_CACHE = True</w:t>
            </w:r>
          </w:p>
        </w:tc>
        <w:tc>
          <w:tcPr>
            <w:tcW w:type="dxa" w:w="4968"/>
            <w:vAlign w:val="center"/>
          </w:tcPr>
          <w:p>
            <w:r>
              <w:rPr>
                <w:b w:val="0"/>
                <w:sz w:val="18"/>
              </w:rPr>
              <w:t>Forces cleaning from raw files again. Use only if raw files or selected features changed.</w:t>
            </w:r>
          </w:p>
        </w:tc>
      </w:tr>
      <w:tr>
        <w:tc>
          <w:tcPr>
            <w:tcW w:type="dxa" w:w="4968"/>
            <w:vAlign w:val="center"/>
          </w:tcPr>
          <w:p>
            <w:r>
              <w:rPr>
                <w:b w:val="0"/>
                <w:sz w:val="18"/>
              </w:rPr>
              <w:t>DOWNLOAD_DATA_IF_MISSING = True</w:t>
            </w:r>
          </w:p>
        </w:tc>
        <w:tc>
          <w:tcPr>
            <w:tcW w:type="dxa" w:w="4968"/>
            <w:vAlign w:val="center"/>
          </w:tcPr>
          <w:p>
            <w:r>
              <w:rPr>
                <w:b w:val="0"/>
                <w:sz w:val="18"/>
              </w:rPr>
              <w:t>Attempts to download raw GTD files from the direct links. Keep False if files already exist or cache exists.</w:t>
            </w:r>
          </w:p>
        </w:tc>
      </w:tr>
    </w:tbl>
    <w:p>
      <w:pPr>
        <w:pStyle w:val="Heading1"/>
      </w:pPr>
      <w:r>
        <w:t>5. Data Processing and Leakage Control</w:t>
      </w:r>
    </w:p>
    <w:p>
      <w:r>
        <w:t>The notebook uses selected GTD columns only. It removes fields that would leak post-event information into the model. This matters because variables such as casualties or property damage are outcomes/consequences of an event, not information that should be used to predict success fairly.</w:t>
      </w:r>
    </w:p>
    <w:p>
      <w:pPr>
        <w:pStyle w:val="ListBullet"/>
      </w:pPr>
      <w:r>
        <w:t>Combines the main GTD file with the mandatory Jan-June 2021 supplement.</w:t>
      </w:r>
    </w:p>
    <w:p>
      <w:pPr>
        <w:pStyle w:val="ListBullet"/>
      </w:pPr>
      <w:r>
        <w:t>Removes duplicate events using eventid.</w:t>
      </w:r>
    </w:p>
    <w:p>
      <w:pPr>
        <w:pStyle w:val="ListBullet"/>
      </w:pPr>
      <w:r>
        <w:t>Filters the target so success is binary: 0 or 1.</w:t>
      </w:r>
    </w:p>
    <w:p>
      <w:pPr>
        <w:pStyle w:val="ListBullet"/>
      </w:pPr>
      <w:r>
        <w:t>Converts numeric fields with pd.to_numeric.</w:t>
      </w:r>
    </w:p>
    <w:p>
      <w:pPr>
        <w:pStyle w:val="ListBullet"/>
      </w:pPr>
      <w:r>
        <w:t>Fills missing categorical values with "Unknown".</w:t>
      </w:r>
    </w:p>
    <w:p>
      <w:pPr>
        <w:pStyle w:val="ListBullet"/>
      </w:pPr>
      <w:r>
        <w:t>Saves the cleaned selected dataset to data/processed/gtd_light_full.pkl.</w:t>
      </w:r>
    </w:p>
    <w:p>
      <w:pPr>
        <w:pStyle w:val="ListBullet"/>
      </w:pPr>
      <w:r>
        <w:t>Excluded leakage-prone examples: nkill, nwound, property, ransom, hostage outcome, and released-hostage fields.</w:t>
      </w:r>
    </w:p>
    <w:p>
      <w:pPr>
        <w:pStyle w:val="Heading1"/>
      </w:pPr>
      <w:r>
        <w:t>6. Train/Validation/Test Splits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Pr>
                <w:b/>
                <w:sz w:val="18"/>
              </w:rPr>
              <w:t>Split Mode</w:t>
            </w:r>
          </w:p>
        </w:tc>
        <w:tc>
          <w:tcPr>
            <w:tcW w:type="dxa" w:w="1987"/>
            <w:vAlign w:val="center"/>
            <w:shd w:fill="D9EAF7"/>
          </w:tcPr>
          <w:p>
            <w:r>
              <w:rPr>
                <w:b/>
                <w:sz w:val="18"/>
              </w:rPr>
              <w:t>Train</w:t>
            </w:r>
          </w:p>
        </w:tc>
        <w:tc>
          <w:tcPr>
            <w:tcW w:type="dxa" w:w="1987"/>
            <w:vAlign w:val="center"/>
            <w:shd w:fill="D9EAF7"/>
          </w:tcPr>
          <w:p>
            <w:r>
              <w:rPr>
                <w:b/>
                <w:sz w:val="18"/>
              </w:rPr>
              <w:t>Validation</w:t>
            </w:r>
          </w:p>
        </w:tc>
        <w:tc>
          <w:tcPr>
            <w:tcW w:type="dxa" w:w="1987"/>
            <w:vAlign w:val="center"/>
            <w:shd w:fill="D9EAF7"/>
          </w:tcPr>
          <w:p>
            <w:r>
              <w:rPr>
                <w:b/>
                <w:sz w:val="18"/>
              </w:rPr>
              <w:t>Test</w:t>
            </w:r>
          </w:p>
        </w:tc>
        <w:tc>
          <w:tcPr>
            <w:tcW w:type="dxa" w:w="1987"/>
            <w:vAlign w:val="center"/>
            <w:shd w:fill="D9EAF7"/>
          </w:tcPr>
          <w:p>
            <w:r>
              <w:rPr>
                <w:b/>
                <w:sz w:val="18"/>
              </w:rPr>
              <w:t>Interpretation</w:t>
            </w:r>
          </w:p>
        </w:tc>
      </w:tr>
      <w:tr>
        <w:tc>
          <w:tcPr>
            <w:tcW w:type="dxa" w:w="1987"/>
            <w:vAlign w:val="center"/>
          </w:tcPr>
          <w:p>
            <w:r>
              <w:rPr>
                <w:b w:val="0"/>
                <w:sz w:val="18"/>
              </w:rPr>
              <w:t>Temporal</w:t>
            </w:r>
          </w:p>
        </w:tc>
        <w:tc>
          <w:tcPr>
            <w:tcW w:type="dxa" w:w="1987"/>
            <w:vAlign w:val="center"/>
          </w:tcPr>
          <w:p>
            <w:r>
              <w:rPr>
                <w:b w:val="0"/>
                <w:sz w:val="18"/>
              </w:rPr>
              <w:t>Events through 2014</w:t>
            </w:r>
          </w:p>
        </w:tc>
        <w:tc>
          <w:tcPr>
            <w:tcW w:type="dxa" w:w="1987"/>
            <w:vAlign w:val="center"/>
          </w:tcPr>
          <w:p>
            <w:r>
              <w:rPr>
                <w:b w:val="0"/>
                <w:sz w:val="18"/>
              </w:rPr>
              <w:t>2015-2017</w:t>
            </w:r>
          </w:p>
        </w:tc>
        <w:tc>
          <w:tcPr>
            <w:tcW w:type="dxa" w:w="1987"/>
            <w:vAlign w:val="center"/>
          </w:tcPr>
          <w:p>
            <w:r>
              <w:rPr>
                <w:b w:val="0"/>
                <w:sz w:val="18"/>
              </w:rPr>
              <w:t>2018 onward</w:t>
            </w:r>
          </w:p>
        </w:tc>
        <w:tc>
          <w:tcPr>
            <w:tcW w:type="dxa" w:w="1987"/>
            <w:vAlign w:val="center"/>
          </w:tcPr>
          <w:p>
            <w:r>
              <w:rPr>
                <w:b w:val="0"/>
                <w:sz w:val="18"/>
              </w:rPr>
              <w:t>Main result; stricter and more realistic forward-looking test.</w:t>
            </w:r>
          </w:p>
        </w:tc>
      </w:tr>
      <w:tr>
        <w:tc>
          <w:tcPr>
            <w:tcW w:type="dxa" w:w="1987"/>
            <w:vAlign w:val="center"/>
          </w:tcPr>
          <w:p>
            <w:r>
              <w:rPr>
                <w:b w:val="0"/>
                <w:sz w:val="18"/>
              </w:rPr>
              <w:t>Random</w:t>
            </w:r>
          </w:p>
        </w:tc>
        <w:tc>
          <w:tcPr>
            <w:tcW w:type="dxa" w:w="1987"/>
            <w:vAlign w:val="center"/>
          </w:tcPr>
          <w:p>
            <w:r>
              <w:rPr>
                <w:b w:val="0"/>
                <w:sz w:val="18"/>
              </w:rPr>
              <w:t>Random stratified subset</w:t>
            </w:r>
          </w:p>
        </w:tc>
        <w:tc>
          <w:tcPr>
            <w:tcW w:type="dxa" w:w="1987"/>
            <w:vAlign w:val="center"/>
          </w:tcPr>
          <w:p>
            <w:r>
              <w:rPr>
                <w:b w:val="0"/>
                <w:sz w:val="18"/>
              </w:rPr>
              <w:t>Random stratified subset</w:t>
            </w:r>
          </w:p>
        </w:tc>
        <w:tc>
          <w:tcPr>
            <w:tcW w:type="dxa" w:w="1987"/>
            <w:vAlign w:val="center"/>
          </w:tcPr>
          <w:p>
            <w:r>
              <w:rPr>
                <w:b w:val="0"/>
                <w:sz w:val="18"/>
              </w:rPr>
              <w:t>Random stratified subset</w:t>
            </w:r>
          </w:p>
        </w:tc>
        <w:tc>
          <w:tcPr>
            <w:tcW w:type="dxa" w:w="1987"/>
            <w:vAlign w:val="center"/>
          </w:tcPr>
          <w:p>
            <w:r>
              <w:rPr>
                <w:b w:val="0"/>
                <w:sz w:val="18"/>
              </w:rPr>
              <w:t>Comparison only; usually scores higher because years are mixed.</w:t>
            </w:r>
          </w:p>
        </w:tc>
      </w:tr>
    </w:tbl>
    <w:p>
      <w:r>
        <w:t>The paper should treat the temporal split as the main evidence because it better matches the idea of training on past data and evaluating on future events.</w:t>
      </w:r>
    </w:p>
    <w:p>
      <w:pPr>
        <w:pStyle w:val="Heading1"/>
      </w:pPr>
      <w:r>
        <w:t>7. Models Compared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Pr>
                <w:b/>
                <w:sz w:val="18"/>
              </w:rPr>
              <w:t>Model</w:t>
            </w:r>
          </w:p>
        </w:tc>
        <w:tc>
          <w:tcPr>
            <w:tcW w:type="dxa" w:w="2484"/>
            <w:vAlign w:val="center"/>
            <w:shd w:fill="D9EAF7"/>
          </w:tcPr>
          <w:p>
            <w:r>
              <w:rPr>
                <w:b/>
                <w:sz w:val="18"/>
              </w:rPr>
              <w:t>Role in Project</w:t>
            </w:r>
          </w:p>
        </w:tc>
        <w:tc>
          <w:tcPr>
            <w:tcW w:type="dxa" w:w="2484"/>
            <w:vAlign w:val="center"/>
            <w:shd w:fill="D9EAF7"/>
          </w:tcPr>
          <w:p>
            <w:r>
              <w:rPr>
                <w:b/>
                <w:sz w:val="18"/>
              </w:rPr>
              <w:t>Main Strength</w:t>
            </w:r>
          </w:p>
        </w:tc>
        <w:tc>
          <w:tcPr>
            <w:tcW w:type="dxa" w:w="2484"/>
            <w:vAlign w:val="center"/>
            <w:shd w:fill="D9EAF7"/>
          </w:tcPr>
          <w:p>
            <w:r>
              <w:rPr>
                <w:b/>
                <w:sz w:val="18"/>
              </w:rPr>
              <w:t>Main Limitation</w:t>
            </w:r>
          </w:p>
        </w:tc>
      </w:tr>
      <w:tr>
        <w:tc>
          <w:tcPr>
            <w:tcW w:type="dxa" w:w="2484"/>
            <w:vAlign w:val="center"/>
          </w:tcPr>
          <w:p>
            <w:r>
              <w:rPr>
                <w:b w:val="0"/>
                <w:sz w:val="18"/>
              </w:rPr>
              <w:t>Logistic Regression</w:t>
            </w:r>
          </w:p>
        </w:tc>
        <w:tc>
          <w:tcPr>
            <w:tcW w:type="dxa" w:w="2484"/>
            <w:vAlign w:val="center"/>
          </w:tcPr>
          <w:p>
            <w:r>
              <w:rPr>
                <w:b w:val="0"/>
                <w:sz w:val="18"/>
              </w:rPr>
              <w:t>Linear baseline</w:t>
            </w:r>
          </w:p>
        </w:tc>
        <w:tc>
          <w:tcPr>
            <w:tcW w:type="dxa" w:w="2484"/>
            <w:vAlign w:val="center"/>
          </w:tcPr>
          <w:p>
            <w:r>
              <w:rPr>
                <w:b w:val="0"/>
                <w:sz w:val="18"/>
              </w:rPr>
              <w:t>Easy to explain; stable; readable coefficients</w:t>
            </w:r>
          </w:p>
        </w:tc>
        <w:tc>
          <w:tcPr>
            <w:tcW w:type="dxa" w:w="2484"/>
            <w:vAlign w:val="center"/>
          </w:tcPr>
          <w:p>
            <w:r>
              <w:rPr>
                <w:b w:val="0"/>
                <w:sz w:val="18"/>
              </w:rPr>
              <w:t>Cannot capture complex nonlinear interactions well.</w:t>
            </w:r>
          </w:p>
        </w:tc>
      </w:tr>
      <w:tr>
        <w:tc>
          <w:tcPr>
            <w:tcW w:type="dxa" w:w="2484"/>
            <w:vAlign w:val="center"/>
          </w:tcPr>
          <w:p>
            <w:r>
              <w:rPr>
                <w:b w:val="0"/>
                <w:sz w:val="18"/>
              </w:rPr>
              <w:t>CART</w:t>
            </w:r>
          </w:p>
        </w:tc>
        <w:tc>
          <w:tcPr>
            <w:tcW w:type="dxa" w:w="2484"/>
            <w:vAlign w:val="center"/>
          </w:tcPr>
          <w:p>
            <w:r>
              <w:rPr>
                <w:b w:val="0"/>
                <w:sz w:val="18"/>
              </w:rPr>
              <w:t>Single-tree nonlinear baseline</w:t>
            </w:r>
          </w:p>
        </w:tc>
        <w:tc>
          <w:tcPr>
            <w:tcW w:type="dxa" w:w="2484"/>
            <w:vAlign w:val="center"/>
          </w:tcPr>
          <w:p>
            <w:r>
              <w:rPr>
                <w:b w:val="0"/>
                <w:sz w:val="18"/>
              </w:rPr>
              <w:t>Interpretable tree logic</w:t>
            </w:r>
          </w:p>
        </w:tc>
        <w:tc>
          <w:tcPr>
            <w:tcW w:type="dxa" w:w="2484"/>
            <w:vAlign w:val="center"/>
          </w:tcPr>
          <w:p>
            <w:r>
              <w:rPr>
                <w:b w:val="0"/>
                <w:sz w:val="18"/>
              </w:rPr>
              <w:t>Less powerful than boosted ensembles; can overfit if not regularized.</w:t>
            </w:r>
          </w:p>
        </w:tc>
      </w:tr>
      <w:tr>
        <w:tc>
          <w:tcPr>
            <w:tcW w:type="dxa" w:w="2484"/>
            <w:vAlign w:val="center"/>
          </w:tcPr>
          <w:p>
            <w:r>
              <w:rPr>
                <w:b w:val="0"/>
                <w:sz w:val="18"/>
              </w:rPr>
              <w:t>XGBoost</w:t>
            </w:r>
          </w:p>
        </w:tc>
        <w:tc>
          <w:tcPr>
            <w:tcW w:type="dxa" w:w="2484"/>
            <w:vAlign w:val="center"/>
          </w:tcPr>
          <w:p>
            <w:r>
              <w:rPr>
                <w:b w:val="0"/>
                <w:sz w:val="18"/>
              </w:rPr>
              <w:t>Strong traditional ML baseline</w:t>
            </w:r>
          </w:p>
        </w:tc>
        <w:tc>
          <w:tcPr>
            <w:tcW w:type="dxa" w:w="2484"/>
            <w:vAlign w:val="center"/>
          </w:tcPr>
          <w:p>
            <w:r>
              <w:rPr>
                <w:b w:val="0"/>
                <w:sz w:val="18"/>
              </w:rPr>
              <w:t>Excellent for tabular data; captures interactions; high precision</w:t>
            </w:r>
          </w:p>
        </w:tc>
        <w:tc>
          <w:tcPr>
            <w:tcW w:type="dxa" w:w="2484"/>
            <w:vAlign w:val="center"/>
          </w:tcPr>
          <w:p>
            <w:r>
              <w:rPr>
                <w:b w:val="0"/>
                <w:sz w:val="18"/>
              </w:rPr>
              <w:t>Less directly interpretable than one tree; needs feature-importance summaries.</w:t>
            </w:r>
          </w:p>
        </w:tc>
      </w:tr>
      <w:tr>
        <w:tc>
          <w:tcPr>
            <w:tcW w:type="dxa" w:w="2484"/>
            <w:vAlign w:val="center"/>
          </w:tcPr>
          <w:p>
            <w:r>
              <w:rPr>
                <w:b w:val="0"/>
                <w:sz w:val="18"/>
              </w:rPr>
              <w:t>Feedforward NN</w:t>
            </w:r>
          </w:p>
        </w:tc>
        <w:tc>
          <w:tcPr>
            <w:tcW w:type="dxa" w:w="2484"/>
            <w:vAlign w:val="center"/>
          </w:tcPr>
          <w:p>
            <w:r>
              <w:rPr>
                <w:b w:val="0"/>
                <w:sz w:val="18"/>
              </w:rPr>
              <w:t>Standard neural baseline</w:t>
            </w:r>
          </w:p>
        </w:tc>
        <w:tc>
          <w:tcPr>
            <w:tcW w:type="dxa" w:w="2484"/>
            <w:vAlign w:val="center"/>
          </w:tcPr>
          <w:p>
            <w:r>
              <w:rPr>
                <w:b w:val="0"/>
                <w:sz w:val="18"/>
              </w:rPr>
              <w:t>Learns nonlinear representations from encoded features</w:t>
            </w:r>
          </w:p>
        </w:tc>
        <w:tc>
          <w:tcPr>
            <w:tcW w:type="dxa" w:w="2484"/>
            <w:vAlign w:val="center"/>
          </w:tcPr>
          <w:p>
            <w:r>
              <w:rPr>
                <w:b w:val="0"/>
                <w:sz w:val="18"/>
              </w:rPr>
              <w:t>Less interpretable and more sensitive to training settings.</w:t>
            </w:r>
          </w:p>
        </w:tc>
      </w:tr>
      <w:tr>
        <w:tc>
          <w:tcPr>
            <w:tcW w:type="dxa" w:w="2484"/>
            <w:vAlign w:val="center"/>
          </w:tcPr>
          <w:p>
            <w:r>
              <w:rPr>
                <w:b w:val="0"/>
                <w:sz w:val="18"/>
              </w:rPr>
              <w:t>GTD-FocalResNet</w:t>
            </w:r>
          </w:p>
        </w:tc>
        <w:tc>
          <w:tcPr>
            <w:tcW w:type="dxa" w:w="2484"/>
            <w:vAlign w:val="center"/>
          </w:tcPr>
          <w:p>
            <w:r>
              <w:rPr>
                <w:b w:val="0"/>
                <w:sz w:val="18"/>
              </w:rPr>
              <w:t>Proposed model</w:t>
            </w:r>
          </w:p>
        </w:tc>
        <w:tc>
          <w:tcPr>
            <w:tcW w:type="dxa" w:w="2484"/>
            <w:vAlign w:val="center"/>
          </w:tcPr>
          <w:p>
            <w:r>
              <w:rPr>
                <w:b w:val="0"/>
                <w:sz w:val="18"/>
              </w:rPr>
              <w:t>Best temporal F1/recall; designed for imbalance and temporal shift</w:t>
            </w:r>
          </w:p>
        </w:tc>
        <w:tc>
          <w:tcPr>
            <w:tcW w:type="dxa" w:w="2484"/>
            <w:vAlign w:val="center"/>
          </w:tcPr>
          <w:p>
            <w:r>
              <w:rPr>
                <w:b w:val="0"/>
                <w:sz w:val="18"/>
              </w:rPr>
              <w:t>Improvement over standard NN is modest; more complex than classical baselines.</w:t>
            </w:r>
          </w:p>
        </w:tc>
      </w:tr>
    </w:tbl>
    <w:p>
      <w:pPr>
        <w:pStyle w:val="Heading1"/>
      </w:pPr>
      <w:r>
        <w:t>8. What GTD-FocalResNet Adds</w:t>
      </w:r>
    </w:p>
    <w:p>
      <w:r>
        <w:t>GTD-FocalResNet is not just another plain feedforward network. It adds several design choices to make the neural model more suitable for this dataset:</w:t>
      </w:r>
    </w:p>
    <w:p>
      <w:pPr>
        <w:pStyle w:val="ListBullet"/>
      </w:pPr>
      <w:r>
        <w:t>Residual dense blocks: each block learns a correction to the previous representation, which helps deeper tabular neural learning.</w:t>
      </w:r>
    </w:p>
    <w:p>
      <w:pPr>
        <w:pStyle w:val="ListBullet"/>
      </w:pPr>
      <w:r>
        <w:t>Focal loss: gives more weight to difficult examples, useful when classes are imbalanced or easy examples dominate training.</w:t>
      </w:r>
    </w:p>
    <w:p>
      <w:pPr>
        <w:pStyle w:val="ListBullet"/>
      </w:pPr>
      <w:r>
        <w:t>Softened class weighting: addresses imbalance without overcorrecting too aggressively.</w:t>
      </w:r>
    </w:p>
    <w:p>
      <w:pPr>
        <w:pStyle w:val="ListBullet"/>
      </w:pPr>
      <w:r>
        <w:t>Feature dropout: randomly drops some input features during training to improve robustness.</w:t>
      </w:r>
    </w:p>
    <w:p>
      <w:pPr>
        <w:pStyle w:val="ListBullet"/>
      </w:pPr>
      <w:r>
        <w:t>Temperature scaling: calibrates predicted probabilities after training.</w:t>
      </w:r>
    </w:p>
    <w:p>
      <w:pPr>
        <w:pStyle w:val="Heading1"/>
      </w:pPr>
      <w:r>
        <w:t>9. How Models Are Saved</w:t>
      </w:r>
    </w:p>
    <w:p>
      <w:r>
        <w:t>The notebook now saves trained models instead of leaving PyTorch models only in memory.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b/>
                <w:sz w:val="18"/>
              </w:rPr>
              <w:t>Model Type</w:t>
            </w:r>
          </w:p>
        </w:tc>
        <w:tc>
          <w:tcPr>
            <w:tcW w:type="dxa" w:w="3312"/>
            <w:vAlign w:val="center"/>
            <w:shd w:fill="D9EAF7"/>
          </w:tcPr>
          <w:p>
            <w:r>
              <w:rPr>
                <w:b/>
                <w:sz w:val="18"/>
              </w:rPr>
              <w:t>Saved As</w:t>
            </w:r>
          </w:p>
        </w:tc>
        <w:tc>
          <w:tcPr>
            <w:tcW w:type="dxa" w:w="3312"/>
            <w:vAlign w:val="center"/>
            <w:shd w:fill="D9EAF7"/>
          </w:tcPr>
          <w:p>
            <w:r>
              <w:rPr>
                <w:b/>
                <w:sz w:val="18"/>
              </w:rPr>
              <w:t>Example</w:t>
            </w:r>
          </w:p>
        </w:tc>
      </w:tr>
      <w:tr>
        <w:tc>
          <w:tcPr>
            <w:tcW w:type="dxa" w:w="3312"/>
            <w:vAlign w:val="center"/>
          </w:tcPr>
          <w:p>
            <w:r>
              <w:rPr>
                <w:b w:val="0"/>
                <w:sz w:val="18"/>
              </w:rPr>
              <w:t>Logistic Regression, CART, XGBoost</w:t>
            </w:r>
          </w:p>
        </w:tc>
        <w:tc>
          <w:tcPr>
            <w:tcW w:type="dxa" w:w="3312"/>
            <w:vAlign w:val="center"/>
          </w:tcPr>
          <w:p>
            <w:r>
              <w:rPr>
                <w:b w:val="0"/>
                <w:sz w:val="18"/>
              </w:rPr>
              <w:t>.joblib</w:t>
            </w:r>
          </w:p>
        </w:tc>
        <w:tc>
          <w:tcPr>
            <w:tcW w:type="dxa" w:w="3312"/>
            <w:vAlign w:val="center"/>
          </w:tcPr>
          <w:p>
            <w:r>
              <w:rPr>
                <w:b w:val="0"/>
                <w:sz w:val="18"/>
              </w:rPr>
              <w:t>xgboost.joblib</w:t>
            </w:r>
          </w:p>
        </w:tc>
      </w:tr>
      <w:tr>
        <w:tc>
          <w:tcPr>
            <w:tcW w:type="dxa" w:w="3312"/>
            <w:vAlign w:val="center"/>
          </w:tcPr>
          <w:p>
            <w:r>
              <w:rPr>
                <w:b w:val="0"/>
                <w:sz w:val="18"/>
              </w:rPr>
              <w:t>Feedforward NN, GTD-FocalResNet</w:t>
            </w:r>
          </w:p>
        </w:tc>
        <w:tc>
          <w:tcPr>
            <w:tcW w:type="dxa" w:w="3312"/>
            <w:vAlign w:val="center"/>
          </w:tcPr>
          <w:p>
            <w:r>
              <w:rPr>
                <w:b w:val="0"/>
                <w:sz w:val="18"/>
              </w:rPr>
              <w:t>.pt checkpoint + fitted preprocessor .joblib</w:t>
            </w:r>
          </w:p>
        </w:tc>
        <w:tc>
          <w:tcPr>
            <w:tcW w:type="dxa" w:w="3312"/>
            <w:vAlign w:val="center"/>
          </w:tcPr>
          <w:p>
            <w:r>
              <w:rPr>
                <w:b w:val="0"/>
                <w:sz w:val="18"/>
              </w:rPr>
              <w:t>gtd_focal_resnet.pt and gtd_focal_resnet_preprocessor.joblib</w:t>
            </w:r>
          </w:p>
        </w:tc>
      </w:tr>
    </w:tbl>
    <w:p>
      <w:pPr>
        <w:spacing w:after="120"/>
        <w:ind w:left="360"/>
      </w:pPr>
      <w:r>
        <w:rPr>
          <w:rFonts w:ascii="Courier New" w:hAnsi="Courier New"/>
          <w:sz w:val="18"/>
        </w:rPr>
        <w:t>model = load_torch_pipeline(MOD / "gtd_focal_resnet.pt")</w:t>
      </w:r>
    </w:p>
    <w:p>
      <w:r>
        <w:t>The .pt file stores the PyTorch weights and architecture settings. The separate preprocessor file is needed because the neural network expects the same scaled/encoded feature matrix used during training.</w:t>
      </w:r>
    </w:p>
    <w:p>
      <w:pPr>
        <w:pStyle w:val="Heading1"/>
      </w:pPr>
      <w:r>
        <w:t>10. Latest Temporal Test Results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r>
              <w:rPr>
                <w:b/>
                <w:sz w:val="18"/>
              </w:rPr>
              <w:t>Model</w:t>
            </w:r>
          </w:p>
        </w:tc>
        <w:tc>
          <w:tcPr>
            <w:tcW w:type="dxa" w:w="1656"/>
            <w:vAlign w:val="center"/>
            <w:shd w:fill="D9EAF7"/>
          </w:tcPr>
          <w:p>
            <w:r>
              <w:rPr>
                <w:b/>
                <w:sz w:val="18"/>
              </w:rPr>
              <w:t>Accuracy</w:t>
            </w:r>
          </w:p>
        </w:tc>
        <w:tc>
          <w:tcPr>
            <w:tcW w:type="dxa" w:w="1656"/>
            <w:vAlign w:val="center"/>
            <w:shd w:fill="D9EAF7"/>
          </w:tcPr>
          <w:p>
            <w:r>
              <w:rPr>
                <w:b/>
                <w:sz w:val="18"/>
              </w:rPr>
              <w:t>Precision</w:t>
            </w:r>
          </w:p>
        </w:tc>
        <w:tc>
          <w:tcPr>
            <w:tcW w:type="dxa" w:w="1656"/>
            <w:vAlign w:val="center"/>
            <w:shd w:fill="D9EAF7"/>
          </w:tcPr>
          <w:p>
            <w:r>
              <w:rPr>
                <w:b/>
                <w:sz w:val="18"/>
              </w:rPr>
              <w:t>Recall</w:t>
            </w:r>
          </w:p>
        </w:tc>
        <w:tc>
          <w:tcPr>
            <w:tcW w:type="dxa" w:w="1656"/>
            <w:vAlign w:val="center"/>
            <w:shd w:fill="D9EAF7"/>
          </w:tcPr>
          <w:p>
            <w:r>
              <w:rPr>
                <w:b/>
                <w:sz w:val="18"/>
              </w:rPr>
              <w:t>F1</w:t>
            </w:r>
          </w:p>
        </w:tc>
        <w:tc>
          <w:tcPr>
            <w:tcW w:type="dxa" w:w="1656"/>
            <w:vAlign w:val="center"/>
            <w:shd w:fill="D9EAF7"/>
          </w:tcPr>
          <w:p>
            <w:r>
              <w:rPr>
                <w:b/>
                <w:sz w:val="18"/>
              </w:rPr>
              <w:t>ROC-AUC</w:t>
            </w:r>
          </w:p>
        </w:tc>
      </w:tr>
      <w:tr>
        <w:tc>
          <w:tcPr>
            <w:tcW w:type="dxa" w:w="1656"/>
            <w:vAlign w:val="center"/>
          </w:tcPr>
          <w:p>
            <w:r>
              <w:rPr>
                <w:b w:val="0"/>
                <w:sz w:val="18"/>
              </w:rPr>
              <w:t>GTD-FocalResNet</w:t>
            </w:r>
          </w:p>
        </w:tc>
        <w:tc>
          <w:tcPr>
            <w:tcW w:type="dxa" w:w="1656"/>
            <w:vAlign w:val="center"/>
          </w:tcPr>
          <w:p>
            <w:r>
              <w:rPr>
                <w:b w:val="0"/>
                <w:sz w:val="18"/>
              </w:rPr>
              <w:t>0.831</w:t>
            </w:r>
          </w:p>
        </w:tc>
        <w:tc>
          <w:tcPr>
            <w:tcW w:type="dxa" w:w="1656"/>
            <w:vAlign w:val="center"/>
          </w:tcPr>
          <w:p>
            <w:r>
              <w:rPr>
                <w:b w:val="0"/>
                <w:sz w:val="18"/>
              </w:rPr>
              <w:t>0.906</w:t>
            </w:r>
          </w:p>
        </w:tc>
        <w:tc>
          <w:tcPr>
            <w:tcW w:type="dxa" w:w="1656"/>
            <w:vAlign w:val="center"/>
          </w:tcPr>
          <w:p>
            <w:r>
              <w:rPr>
                <w:b w:val="0"/>
                <w:sz w:val="18"/>
              </w:rPr>
              <w:t>0.893</w:t>
            </w:r>
          </w:p>
        </w:tc>
        <w:tc>
          <w:tcPr>
            <w:tcW w:type="dxa" w:w="1656"/>
            <w:vAlign w:val="center"/>
          </w:tcPr>
          <w:p>
            <w:r>
              <w:rPr>
                <w:b w:val="0"/>
                <w:sz w:val="18"/>
              </w:rPr>
              <w:t>0.899</w:t>
            </w:r>
          </w:p>
        </w:tc>
        <w:tc>
          <w:tcPr>
            <w:tcW w:type="dxa" w:w="1656"/>
            <w:vAlign w:val="center"/>
          </w:tcPr>
          <w:p>
            <w:r>
              <w:rPr>
                <w:b w:val="0"/>
                <w:sz w:val="18"/>
              </w:rPr>
              <w:t>0.804</w:t>
            </w:r>
          </w:p>
        </w:tc>
      </w:tr>
      <w:tr>
        <w:tc>
          <w:tcPr>
            <w:tcW w:type="dxa" w:w="1656"/>
            <w:vAlign w:val="center"/>
          </w:tcPr>
          <w:p>
            <w:r>
              <w:rPr>
                <w:b w:val="0"/>
                <w:sz w:val="18"/>
              </w:rPr>
              <w:t>Feedforward NN</w:t>
            </w:r>
          </w:p>
        </w:tc>
        <w:tc>
          <w:tcPr>
            <w:tcW w:type="dxa" w:w="1656"/>
            <w:vAlign w:val="center"/>
          </w:tcPr>
          <w:p>
            <w:r>
              <w:rPr>
                <w:b w:val="0"/>
                <w:sz w:val="18"/>
              </w:rPr>
              <w:t>0.825</w:t>
            </w:r>
          </w:p>
        </w:tc>
        <w:tc>
          <w:tcPr>
            <w:tcW w:type="dxa" w:w="1656"/>
            <w:vAlign w:val="center"/>
          </w:tcPr>
          <w:p>
            <w:r>
              <w:rPr>
                <w:b w:val="0"/>
                <w:sz w:val="18"/>
              </w:rPr>
              <w:t>0.910</w:t>
            </w:r>
          </w:p>
        </w:tc>
        <w:tc>
          <w:tcPr>
            <w:tcW w:type="dxa" w:w="1656"/>
            <w:vAlign w:val="center"/>
          </w:tcPr>
          <w:p>
            <w:r>
              <w:rPr>
                <w:b w:val="0"/>
                <w:sz w:val="18"/>
              </w:rPr>
              <w:t>0.880</w:t>
            </w:r>
          </w:p>
        </w:tc>
        <w:tc>
          <w:tcPr>
            <w:tcW w:type="dxa" w:w="1656"/>
            <w:vAlign w:val="center"/>
          </w:tcPr>
          <w:p>
            <w:r>
              <w:rPr>
                <w:b w:val="0"/>
                <w:sz w:val="18"/>
              </w:rPr>
              <w:t>0.895</w:t>
            </w:r>
          </w:p>
        </w:tc>
        <w:tc>
          <w:tcPr>
            <w:tcW w:type="dxa" w:w="1656"/>
            <w:vAlign w:val="center"/>
          </w:tcPr>
          <w:p>
            <w:r>
              <w:rPr>
                <w:b w:val="0"/>
                <w:sz w:val="18"/>
              </w:rPr>
              <w:t>0.802</w:t>
            </w:r>
          </w:p>
        </w:tc>
      </w:tr>
      <w:tr>
        <w:tc>
          <w:tcPr>
            <w:tcW w:type="dxa" w:w="1656"/>
            <w:vAlign w:val="center"/>
          </w:tcPr>
          <w:p>
            <w:r>
              <w:rPr>
                <w:b w:val="0"/>
                <w:sz w:val="18"/>
              </w:rPr>
              <w:t>XGBoost</w:t>
            </w:r>
          </w:p>
        </w:tc>
        <w:tc>
          <w:tcPr>
            <w:tcW w:type="dxa" w:w="1656"/>
            <w:vAlign w:val="center"/>
          </w:tcPr>
          <w:p>
            <w:r>
              <w:rPr>
                <w:b w:val="0"/>
                <w:sz w:val="18"/>
              </w:rPr>
              <w:t>0.782</w:t>
            </w:r>
          </w:p>
        </w:tc>
        <w:tc>
          <w:tcPr>
            <w:tcW w:type="dxa" w:w="1656"/>
            <w:vAlign w:val="center"/>
          </w:tcPr>
          <w:p>
            <w:r>
              <w:rPr>
                <w:b w:val="0"/>
                <w:sz w:val="18"/>
              </w:rPr>
              <w:t>0.913</w:t>
            </w:r>
          </w:p>
        </w:tc>
        <w:tc>
          <w:tcPr>
            <w:tcW w:type="dxa" w:w="1656"/>
            <w:vAlign w:val="center"/>
          </w:tcPr>
          <w:p>
            <w:r>
              <w:rPr>
                <w:b w:val="0"/>
                <w:sz w:val="18"/>
              </w:rPr>
              <w:t>0.821</w:t>
            </w:r>
          </w:p>
        </w:tc>
        <w:tc>
          <w:tcPr>
            <w:tcW w:type="dxa" w:w="1656"/>
            <w:vAlign w:val="center"/>
          </w:tcPr>
          <w:p>
            <w:r>
              <w:rPr>
                <w:b w:val="0"/>
                <w:sz w:val="18"/>
              </w:rPr>
              <w:t>0.864</w:t>
            </w:r>
          </w:p>
        </w:tc>
        <w:tc>
          <w:tcPr>
            <w:tcW w:type="dxa" w:w="1656"/>
            <w:vAlign w:val="center"/>
          </w:tcPr>
          <w:p>
            <w:r>
              <w:rPr>
                <w:b w:val="0"/>
                <w:sz w:val="18"/>
              </w:rPr>
              <w:t>0.776</w:t>
            </w:r>
          </w:p>
        </w:tc>
      </w:tr>
      <w:tr>
        <w:tc>
          <w:tcPr>
            <w:tcW w:type="dxa" w:w="1656"/>
            <w:vAlign w:val="center"/>
          </w:tcPr>
          <w:p>
            <w:r>
              <w:rPr>
                <w:b w:val="0"/>
                <w:sz w:val="18"/>
              </w:rPr>
              <w:t>Logistic Regression</w:t>
            </w:r>
          </w:p>
        </w:tc>
        <w:tc>
          <w:tcPr>
            <w:tcW w:type="dxa" w:w="1656"/>
            <w:vAlign w:val="center"/>
          </w:tcPr>
          <w:p>
            <w:r>
              <w:rPr>
                <w:b w:val="0"/>
                <w:sz w:val="18"/>
              </w:rPr>
              <w:t>0.748</w:t>
            </w:r>
          </w:p>
        </w:tc>
        <w:tc>
          <w:tcPr>
            <w:tcW w:type="dxa" w:w="1656"/>
            <w:vAlign w:val="center"/>
          </w:tcPr>
          <w:p>
            <w:r>
              <w:rPr>
                <w:b w:val="0"/>
                <w:sz w:val="18"/>
              </w:rPr>
              <w:t>0.917</w:t>
            </w:r>
          </w:p>
        </w:tc>
        <w:tc>
          <w:tcPr>
            <w:tcW w:type="dxa" w:w="1656"/>
            <w:vAlign w:val="center"/>
          </w:tcPr>
          <w:p>
            <w:r>
              <w:rPr>
                <w:b w:val="0"/>
                <w:sz w:val="18"/>
              </w:rPr>
              <w:t>0.773</w:t>
            </w:r>
          </w:p>
        </w:tc>
        <w:tc>
          <w:tcPr>
            <w:tcW w:type="dxa" w:w="1656"/>
            <w:vAlign w:val="center"/>
          </w:tcPr>
          <w:p>
            <w:r>
              <w:rPr>
                <w:b w:val="0"/>
                <w:sz w:val="18"/>
              </w:rPr>
              <w:t>0.839</w:t>
            </w:r>
          </w:p>
        </w:tc>
        <w:tc>
          <w:tcPr>
            <w:tcW w:type="dxa" w:w="1656"/>
            <w:vAlign w:val="center"/>
          </w:tcPr>
          <w:p>
            <w:r>
              <w:rPr>
                <w:b w:val="0"/>
                <w:sz w:val="18"/>
              </w:rPr>
              <w:t>0.770</w:t>
            </w:r>
          </w:p>
        </w:tc>
      </w:tr>
      <w:tr>
        <w:tc>
          <w:tcPr>
            <w:tcW w:type="dxa" w:w="1656"/>
            <w:vAlign w:val="center"/>
          </w:tcPr>
          <w:p>
            <w:r>
              <w:rPr>
                <w:b w:val="0"/>
                <w:sz w:val="18"/>
              </w:rPr>
              <w:t>CART</w:t>
            </w:r>
          </w:p>
        </w:tc>
        <w:tc>
          <w:tcPr>
            <w:tcW w:type="dxa" w:w="1656"/>
            <w:vAlign w:val="center"/>
          </w:tcPr>
          <w:p>
            <w:r>
              <w:rPr>
                <w:b w:val="0"/>
                <w:sz w:val="18"/>
              </w:rPr>
              <w:t>0.742</w:t>
            </w:r>
          </w:p>
        </w:tc>
        <w:tc>
          <w:tcPr>
            <w:tcW w:type="dxa" w:w="1656"/>
            <w:vAlign w:val="center"/>
          </w:tcPr>
          <w:p>
            <w:r>
              <w:rPr>
                <w:b w:val="0"/>
                <w:sz w:val="18"/>
              </w:rPr>
              <w:t>0.904</w:t>
            </w:r>
          </w:p>
        </w:tc>
        <w:tc>
          <w:tcPr>
            <w:tcW w:type="dxa" w:w="1656"/>
            <w:vAlign w:val="center"/>
          </w:tcPr>
          <w:p>
            <w:r>
              <w:rPr>
                <w:b w:val="0"/>
                <w:sz w:val="18"/>
              </w:rPr>
              <w:t>0.778</w:t>
            </w:r>
          </w:p>
        </w:tc>
        <w:tc>
          <w:tcPr>
            <w:tcW w:type="dxa" w:w="1656"/>
            <w:vAlign w:val="center"/>
          </w:tcPr>
          <w:p>
            <w:r>
              <w:rPr>
                <w:b w:val="0"/>
                <w:sz w:val="18"/>
              </w:rPr>
              <w:t>0.836</w:t>
            </w:r>
          </w:p>
        </w:tc>
        <w:tc>
          <w:tcPr>
            <w:tcW w:type="dxa" w:w="1656"/>
            <w:vAlign w:val="center"/>
          </w:tcPr>
          <w:p>
            <w:r>
              <w:rPr>
                <w:b w:val="0"/>
                <w:sz w:val="18"/>
              </w:rPr>
              <w:t>0.741</w:t>
            </w:r>
          </w:p>
        </w:tc>
      </w:tr>
    </w:tbl>
    <w:p>
      <w:r>
        <w:t>The key interpretation is that GTD-FocalResNet has the strongest temporal F1 and recall. Feedforward NN is close, so the improvement should be described as modest but consistent. XGBoost remains the strongest traditional machine-learning baseline and has strong precision.</w:t>
      </w:r>
    </w:p>
    <w:p>
      <w:pPr>
        <w:pStyle w:val="Heading1"/>
      </w:pPr>
      <w:r>
        <w:t>11. Main Notebook Outputs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sz w:val="18"/>
              </w:rPr>
              <w:t>Output</w:t>
            </w:r>
          </w:p>
        </w:tc>
        <w:tc>
          <w:tcPr>
            <w:tcW w:type="dxa" w:w="4968"/>
            <w:vAlign w:val="center"/>
            <w:shd w:fill="D9EAF7"/>
          </w:tcPr>
          <w:p>
            <w:r>
              <w:rPr>
                <w:b/>
                <w:sz w:val="18"/>
              </w:rPr>
              <w:t>Path</w:t>
            </w:r>
          </w:p>
        </w:tc>
      </w:tr>
      <w:tr>
        <w:tc>
          <w:tcPr>
            <w:tcW w:type="dxa" w:w="4968"/>
            <w:vAlign w:val="center"/>
          </w:tcPr>
          <w:p>
            <w:r>
              <w:rPr>
                <w:b w:val="0"/>
                <w:sz w:val="18"/>
              </w:rPr>
              <w:t>Scores</w:t>
            </w:r>
          </w:p>
        </w:tc>
        <w:tc>
          <w:tcPr>
            <w:tcW w:type="dxa" w:w="4968"/>
            <w:vAlign w:val="center"/>
          </w:tcPr>
          <w:p>
            <w:r>
              <w:rPr>
                <w:b w:val="0"/>
                <w:sz w:val="18"/>
              </w:rPr>
              <w:t>results/light_reproducible/temporal/tables/scores.csv</w:t>
            </w:r>
          </w:p>
        </w:tc>
      </w:tr>
      <w:tr>
        <w:tc>
          <w:tcPr>
            <w:tcW w:type="dxa" w:w="4968"/>
            <w:vAlign w:val="center"/>
          </w:tcPr>
          <w:p>
            <w:r>
              <w:rPr>
                <w:b w:val="0"/>
                <w:sz w:val="18"/>
              </w:rPr>
              <w:t>Confusion matrices</w:t>
            </w:r>
          </w:p>
        </w:tc>
        <w:tc>
          <w:tcPr>
            <w:tcW w:type="dxa" w:w="4968"/>
            <w:vAlign w:val="center"/>
          </w:tcPr>
          <w:p>
            <w:r>
              <w:rPr>
                <w:b w:val="0"/>
                <w:sz w:val="18"/>
              </w:rPr>
              <w:t>results/light_reproducible/temporal/figures/confusion_matrices.png</w:t>
            </w:r>
          </w:p>
        </w:tc>
      </w:tr>
      <w:tr>
        <w:tc>
          <w:tcPr>
            <w:tcW w:type="dxa" w:w="4968"/>
            <w:vAlign w:val="center"/>
          </w:tcPr>
          <w:p>
            <w:r>
              <w:rPr>
                <w:b w:val="0"/>
                <w:sz w:val="18"/>
              </w:rPr>
              <w:t>Learning curve table</w:t>
            </w:r>
          </w:p>
        </w:tc>
        <w:tc>
          <w:tcPr>
            <w:tcW w:type="dxa" w:w="4968"/>
            <w:vAlign w:val="center"/>
          </w:tcPr>
          <w:p>
            <w:r>
              <w:rPr>
                <w:b w:val="0"/>
                <w:sz w:val="18"/>
              </w:rPr>
              <w:t>results/light_reproducible/temporal/tables/learning_curves_all_models.csv</w:t>
            </w:r>
          </w:p>
        </w:tc>
      </w:tr>
      <w:tr>
        <w:tc>
          <w:tcPr>
            <w:tcW w:type="dxa" w:w="4968"/>
            <w:vAlign w:val="center"/>
          </w:tcPr>
          <w:p>
            <w:r>
              <w:rPr>
                <w:b w:val="0"/>
                <w:sz w:val="18"/>
              </w:rPr>
              <w:t>Learning curve figures</w:t>
            </w:r>
          </w:p>
        </w:tc>
        <w:tc>
          <w:tcPr>
            <w:tcW w:type="dxa" w:w="4968"/>
            <w:vAlign w:val="center"/>
          </w:tcPr>
          <w:p>
            <w:r>
              <w:rPr>
                <w:b w:val="0"/>
                <w:sz w:val="18"/>
              </w:rPr>
              <w:t>results/light_reproducible/temporal/figures/learning_curves_train_vs_validation_f1_all_models.png</w:t>
            </w:r>
          </w:p>
        </w:tc>
      </w:tr>
      <w:tr>
        <w:tc>
          <w:tcPr>
            <w:tcW w:type="dxa" w:w="4968"/>
            <w:vAlign w:val="center"/>
          </w:tcPr>
          <w:p>
            <w:r>
              <w:rPr>
                <w:b w:val="0"/>
                <w:sz w:val="18"/>
              </w:rPr>
              <w:t>Feature importance table</w:t>
            </w:r>
          </w:p>
        </w:tc>
        <w:tc>
          <w:tcPr>
            <w:tcW w:type="dxa" w:w="4968"/>
            <w:vAlign w:val="center"/>
          </w:tcPr>
          <w:p>
            <w:r>
              <w:rPr>
                <w:b w:val="0"/>
                <w:sz w:val="18"/>
              </w:rPr>
              <w:t>results/light_reproducible/temporal/tables/permutation_feature_importance_all_models.csv</w:t>
            </w:r>
          </w:p>
        </w:tc>
      </w:tr>
      <w:tr>
        <w:tc>
          <w:tcPr>
            <w:tcW w:type="dxa" w:w="4968"/>
            <w:vAlign w:val="center"/>
          </w:tcPr>
          <w:p>
            <w:r>
              <w:rPr>
                <w:b w:val="0"/>
                <w:sz w:val="18"/>
              </w:rPr>
              <w:t>Feature importance figure</w:t>
            </w:r>
          </w:p>
        </w:tc>
        <w:tc>
          <w:tcPr>
            <w:tcW w:type="dxa" w:w="4968"/>
            <w:vAlign w:val="center"/>
          </w:tcPr>
          <w:p>
            <w:r>
              <w:rPr>
                <w:b w:val="0"/>
                <w:sz w:val="18"/>
              </w:rPr>
              <w:t>results/light_reproducible/temporal/figures/feature_importance_all_models.png</w:t>
            </w:r>
          </w:p>
        </w:tc>
      </w:tr>
    </w:tbl>
    <w:p>
      <w:pPr>
        <w:pStyle w:val="Heading1"/>
      </w:pPr>
      <w:r>
        <w:t>12. How to Explain the Results</w:t>
      </w:r>
    </w:p>
    <w:p>
      <w:pPr>
        <w:pStyle w:val="ListBullet"/>
      </w:pPr>
      <w:r>
        <w:t>Do not say the model predicts terrorism in general. It predicts the GTD-coded success label for recorded incidents.</w:t>
      </w:r>
    </w:p>
    <w:p>
      <w:pPr>
        <w:pStyle w:val="ListBullet"/>
      </w:pPr>
      <w:r>
        <w:t>Do not claim causal relationships from feature importance. Important features help prediction, but they do not prove causes.</w:t>
      </w:r>
    </w:p>
    <w:p>
      <w:pPr>
        <w:pStyle w:val="ListBullet"/>
      </w:pPr>
      <w:r>
        <w:t>Temporal split results matter most because they test forward-looking generalization.</w:t>
      </w:r>
    </w:p>
    <w:p>
      <w:pPr>
        <w:pStyle w:val="ListBullet"/>
      </w:pPr>
      <w:r>
        <w:t>Random split results are expected to be higher because the historical periods are mixed.</w:t>
      </w:r>
    </w:p>
    <w:p>
      <w:pPr>
        <w:pStyle w:val="ListBullet"/>
      </w:pPr>
      <w:r>
        <w:t>GTD-FocalResNet is best framed as a recall-oriented proposed model, not as a perfect model.</w:t>
      </w:r>
    </w:p>
    <w:p>
      <w:pPr>
        <w:pStyle w:val="ListBullet"/>
      </w:pPr>
      <w:r>
        <w:t>XGBoost is still important because it is the strongest traditional tabular baseline.</w:t>
      </w:r>
    </w:p>
    <w:p>
      <w:pPr>
        <w:pStyle w:val="ListBullet"/>
      </w:pPr>
      <w:r>
        <w:t>Confusion matrices show the actual trade-off between missed successes and false alarms.</w:t>
      </w:r>
    </w:p>
    <w:p>
      <w:pPr>
        <w:pStyle w:val="ListBullet"/>
      </w:pPr>
      <w:r>
        <w:t>Learning curves show whether models improve with more data and whether train-validation gaps are large.</w:t>
      </w:r>
    </w:p>
    <w:p>
      <w:pPr>
        <w:pStyle w:val="Heading1"/>
      </w:pPr>
      <w:r>
        <w:t>13. Recommended Run Checklist for Groupmates</w:t>
      </w:r>
    </w:p>
    <w:p>
      <w:pPr>
        <w:pStyle w:val="ListNumber"/>
      </w:pPr>
      <w:r>
        <w:t>Open notebooks/3CSD_Group 8_Implementation.ipynb.</w:t>
      </w:r>
    </w:p>
    <w:p>
      <w:pPr>
        <w:pStyle w:val="ListNumber"/>
      </w:pPr>
      <w:r>
        <w:t>Run Cell 1: Imports.</w:t>
      </w:r>
    </w:p>
    <w:p>
      <w:pPr>
        <w:pStyle w:val="ListNumber"/>
      </w:pPr>
      <w:r>
        <w:t>Run Cell 2: Configs. Keep SPLIT_MODE = "temporal" for main results.</w:t>
      </w:r>
    </w:p>
    <w:p>
      <w:pPr>
        <w:pStyle w:val="ListNumber"/>
      </w:pPr>
      <w:r>
        <w:t>Run Cell 3: Remaining setup/helpers.</w:t>
      </w:r>
    </w:p>
    <w:p>
      <w:pPr>
        <w:pStyle w:val="ListNumber"/>
      </w:pPr>
      <w:r>
        <w:t>Run the download/verify cell. If the cleaned cache already exists, it will skip raw downloading.</w:t>
      </w:r>
    </w:p>
    <w:p>
      <w:pPr>
        <w:pStyle w:val="ListNumber"/>
      </w:pPr>
      <w:r>
        <w:t>Run the clean/cache/split cell.</w:t>
      </w:r>
    </w:p>
    <w:p>
      <w:pPr>
        <w:pStyle w:val="ListNumber"/>
      </w:pPr>
      <w:r>
        <w:t>Run the model-definition cell.</w:t>
      </w:r>
    </w:p>
    <w:p>
      <w:pPr>
        <w:pStyle w:val="ListNumber"/>
      </w:pPr>
      <w:r>
        <w:t>Run training/scoring.</w:t>
      </w:r>
    </w:p>
    <w:p>
      <w:pPr>
        <w:pStyle w:val="ListNumber"/>
      </w:pPr>
      <w:r>
        <w:t>Run confusion matrices, learning curves, and feature importance cells if figures are needed.</w:t>
      </w:r>
    </w:p>
    <w:p>
      <w:pPr>
        <w:pStyle w:val="ListNumber"/>
      </w:pPr>
      <w:r>
        <w:t>Use the generated CSVs and figures when updating the paper. Avoid manually retyping numbers unless checked against the files.</w:t>
      </w:r>
    </w:p>
    <w:p>
      <w:pPr>
        <w:pStyle w:val="Heading1"/>
      </w:pPr>
      <w:r>
        <w:t>14. Final Takeaway</w:t>
      </w:r>
    </w:p>
    <w:p>
      <w:r>
        <w:t>The final notebook is a lightweight, reproducible version of the project. It keeps the workflow focused on the required model comparison and interpretation outputs. The proposed GTD-FocalResNet gives the best temporal F1 and recall, while XGBoost remains the strongest traditional baseline. The safest paper claim is that the proposed residual focal-loss model improves recall-oriented temporal prediction modestly and consistently, but the results still require careful interpretation because GTD is a coded record of real-world events, not a complete description of geopolitical violence.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