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20FB" w14:textId="4014B623" w:rsidR="00A57310" w:rsidRDefault="00DD1F53" w:rsidP="00091010">
      <w:pPr>
        <w:spacing w:line="276" w:lineRule="auto"/>
        <w:rPr>
          <w:rFonts w:ascii="Arial" w:hAnsi="Arial" w:cs="Arial"/>
          <w:b/>
          <w:bCs/>
          <w:sz w:val="32"/>
          <w:szCs w:val="40"/>
        </w:rPr>
      </w:pPr>
      <w:r w:rsidRPr="005B37F2">
        <w:rPr>
          <w:rFonts w:ascii="Arial" w:hAnsi="Arial" w:cs="Arial"/>
          <w:b/>
          <w:bCs/>
          <w:sz w:val="32"/>
          <w:szCs w:val="40"/>
        </w:rPr>
        <w:t>CBSB3 mini</w:t>
      </w:r>
      <w:r w:rsidR="00277967" w:rsidRPr="005B37F2">
        <w:rPr>
          <w:rFonts w:ascii="Arial" w:hAnsi="Arial" w:cs="Arial"/>
          <w:b/>
          <w:bCs/>
          <w:sz w:val="32"/>
          <w:szCs w:val="40"/>
        </w:rPr>
        <w:t>-</w:t>
      </w:r>
      <w:r w:rsidRPr="005B37F2">
        <w:rPr>
          <w:rFonts w:ascii="Arial" w:hAnsi="Arial" w:cs="Arial"/>
          <w:b/>
          <w:bCs/>
          <w:sz w:val="32"/>
          <w:szCs w:val="40"/>
        </w:rPr>
        <w:t>project</w:t>
      </w:r>
      <w:r w:rsidR="00E93771">
        <w:rPr>
          <w:rFonts w:ascii="Arial" w:hAnsi="Arial" w:cs="Arial"/>
          <w:b/>
          <w:bCs/>
          <w:sz w:val="32"/>
          <w:szCs w:val="40"/>
        </w:rPr>
        <w:t xml:space="preserve"> final report</w:t>
      </w:r>
      <w:r w:rsidRPr="005B37F2">
        <w:rPr>
          <w:rFonts w:ascii="Arial" w:hAnsi="Arial" w:cs="Arial"/>
          <w:b/>
          <w:bCs/>
          <w:sz w:val="32"/>
          <w:szCs w:val="40"/>
        </w:rPr>
        <w:t xml:space="preserve"> of</w:t>
      </w:r>
      <w:r w:rsidR="00A57310">
        <w:rPr>
          <w:rFonts w:ascii="Arial" w:hAnsi="Arial" w:cs="Arial"/>
          <w:b/>
          <w:bCs/>
          <w:sz w:val="32"/>
          <w:szCs w:val="40"/>
        </w:rPr>
        <w:t xml:space="preserve"> project3:</w:t>
      </w:r>
    </w:p>
    <w:p w14:paraId="5F65002B" w14:textId="6846ADCB" w:rsidR="005B37F2" w:rsidRPr="005B37F2" w:rsidRDefault="00DD1F53" w:rsidP="00091010">
      <w:pPr>
        <w:spacing w:line="276" w:lineRule="auto"/>
        <w:rPr>
          <w:rFonts w:ascii="Arial" w:hAnsi="Arial" w:cs="Arial"/>
          <w:b/>
          <w:bCs/>
          <w:sz w:val="32"/>
          <w:szCs w:val="40"/>
        </w:rPr>
      </w:pPr>
      <w:r w:rsidRPr="005B37F2">
        <w:rPr>
          <w:rFonts w:ascii="Arial" w:hAnsi="Arial" w:cs="Arial"/>
          <w:b/>
          <w:bCs/>
          <w:sz w:val="32"/>
          <w:szCs w:val="40"/>
        </w:rPr>
        <w:t>modelling mutational effects on protein structure</w:t>
      </w:r>
    </w:p>
    <w:p w14:paraId="30254C13" w14:textId="44B431F7" w:rsidR="00DD1F53" w:rsidRPr="005B37F2" w:rsidRDefault="00DD1F53" w:rsidP="00091010">
      <w:pPr>
        <w:spacing w:line="276" w:lineRule="auto"/>
        <w:rPr>
          <w:rFonts w:ascii="Arial" w:hAnsi="Arial" w:cs="Arial"/>
        </w:rPr>
      </w:pPr>
      <w:r w:rsidRPr="005B37F2">
        <w:rPr>
          <w:rFonts w:ascii="Arial" w:hAnsi="Arial" w:cs="Arial"/>
        </w:rPr>
        <w:t>roll number: 0022</w:t>
      </w:r>
      <w:r w:rsidR="00091010" w:rsidRPr="005B37F2">
        <w:rPr>
          <w:rFonts w:ascii="Arial" w:hAnsi="Arial" w:cs="Arial"/>
        </w:rPr>
        <w:fldChar w:fldCharType="begin"/>
      </w:r>
      <w:r w:rsidR="00AB4AF7">
        <w:rPr>
          <w:rFonts w:ascii="Arial" w:hAnsi="Arial" w:cs="Arial"/>
        </w:rPr>
        <w:instrText xml:space="preserve"> ADDIN ZOTERO_ITEM CSL_CITATION {"citationID":"YiT4PA64","properties":{"formattedCitation":"(Wang, Papaleo and Lindorff-Larsen, 2016)","plainCitation":"(Wang, Papaleo and Lindorff-Larsen, 2016)","dontUpdate":true,"noteIndex":0},"citationItems":[{"id":203,"uris":["http://zotero.org/users/6918432/items/GDK23I68"],"itemData":{"id":203,"type":"article-journal","abstract":"Determining the structures, kinetics, thermodynamics and mechanisms that underlie conformational exchange processes in proteins remains extremely difficult. Only in favourable cases is it possible to provide atomic-level descriptions of sparsely populated and transiently formed alternative conformations. Here we benchmark the ability of enhanced-sampling molecular dynamics simulations to determine the free energy landscape of the L99A cavity mutant of T4 lysozyme. We find that the simulations capture key properties previously measured by NMR relaxation dispersion methods including the structure of a minor conformation, the kinetics and thermodynamics of conformational exchange, and the effect of mutations. We discover a new tunnel that involves the transient exposure towards the solvent of an internal cavity, and show it to be relevant for ligand escape. Together, our results provide a comprehensive view of the structural landscape of a protein, and point forward to studies of conformational exchange in systems that are less characterized experimentally.","container-title":"eLife","DOI":"10.7554/eLife.17505","ISSN":"2050-084X","note":"publisher: eLife Sciences Publications, Ltd","page":"e17505","source":"eLife","title":"Mapping transiently formed and sparsely populated conformations on a complex energy landscape","volume":"5","author":[{"family":"Wang","given":"Yong"},{"family":"Papaleo","given":"Elena"},{"family":"Lindorff-Larsen","given":"Kresten"}],"editor":[{"family":"Shan","given":"Yibing"}],"issued":{"date-parts":[["2016",8,23]]}}}],"schema":"https://github.com/citation-style-language/schema/raw/master/csl-citation.json"} </w:instrText>
      </w:r>
      <w:r w:rsidR="00000000">
        <w:rPr>
          <w:rFonts w:ascii="Arial" w:hAnsi="Arial" w:cs="Arial"/>
        </w:rPr>
        <w:fldChar w:fldCharType="separate"/>
      </w:r>
      <w:r w:rsidR="00091010" w:rsidRPr="005B37F2">
        <w:rPr>
          <w:rFonts w:ascii="Arial" w:hAnsi="Arial" w:cs="Arial"/>
        </w:rPr>
        <w:fldChar w:fldCharType="end"/>
      </w:r>
    </w:p>
    <w:p w14:paraId="0186A244" w14:textId="7FACD172" w:rsidR="00DD1F53" w:rsidRDefault="00DD1F53" w:rsidP="00091010">
      <w:pPr>
        <w:spacing w:line="276" w:lineRule="auto"/>
        <w:rPr>
          <w:rFonts w:ascii="Arial" w:hAnsi="Arial" w:cs="Arial"/>
        </w:rPr>
      </w:pPr>
      <w:r w:rsidRPr="005B37F2">
        <w:rPr>
          <w:rFonts w:ascii="Arial" w:hAnsi="Arial" w:cs="Arial"/>
        </w:rPr>
        <w:t xml:space="preserve">word count: </w:t>
      </w:r>
      <w:r w:rsidR="00A146AC">
        <w:rPr>
          <w:rFonts w:ascii="Arial" w:hAnsi="Arial" w:cs="Arial"/>
        </w:rPr>
        <w:t>1974</w:t>
      </w:r>
    </w:p>
    <w:p w14:paraId="6B118064" w14:textId="77777777" w:rsidR="00E93771" w:rsidRDefault="00E93771" w:rsidP="00091010">
      <w:pPr>
        <w:spacing w:line="276" w:lineRule="auto"/>
        <w:rPr>
          <w:rFonts w:ascii="Arial" w:hAnsi="Arial" w:cs="Arial"/>
        </w:rPr>
      </w:pPr>
    </w:p>
    <w:p w14:paraId="11E722E8" w14:textId="1455943A"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Abstract</w:t>
      </w:r>
    </w:p>
    <w:p w14:paraId="6B32D14E" w14:textId="184BBD9E" w:rsidR="00E93771" w:rsidRDefault="00AB4AF7" w:rsidP="00E93771">
      <w:pPr>
        <w:spacing w:line="276" w:lineRule="auto"/>
        <w:rPr>
          <w:rFonts w:ascii="Arial" w:hAnsi="Arial" w:cs="Arial"/>
        </w:rPr>
      </w:pPr>
      <w:r w:rsidRPr="00AB4AF7">
        <w:rPr>
          <w:rFonts w:ascii="Arial" w:hAnsi="Arial" w:cs="Arial"/>
        </w:rPr>
        <w:t>This study provides a comprehensive computational exploration of the L99A T4L protein, focusing on protein stability and ligand binding. An alanine scan and specific mutations (Alanine to Serine, Valine to Threonine) revealed that certain amino acid residues and their alterations significantly impact protein stability. We further investigated conformational variations of L99A T4L, identifying an enhancement in the open conformation's stability due to certain mutations. In silico docking experiments indicated that pocket size influences docking scores for larger ligands but not for small molecules. These insights underline the importance of understanding the dynamic behavior of proteins in the context of protein-ligand interactions and drug discovery.</w:t>
      </w:r>
    </w:p>
    <w:p w14:paraId="55931AE7" w14:textId="77777777" w:rsidR="00E93771" w:rsidRPr="00E93771" w:rsidRDefault="00E93771" w:rsidP="00E93771">
      <w:pPr>
        <w:spacing w:line="276" w:lineRule="auto"/>
        <w:rPr>
          <w:rFonts w:ascii="Arial" w:hAnsi="Arial" w:cs="Arial"/>
        </w:rPr>
      </w:pPr>
    </w:p>
    <w:p w14:paraId="39AEFCDA" w14:textId="5FC2116F" w:rsidR="00E93771" w:rsidRPr="00B61013" w:rsidRDefault="0031171F" w:rsidP="00E93771">
      <w:pPr>
        <w:spacing w:line="276" w:lineRule="auto"/>
        <w:rPr>
          <w:rFonts w:ascii="Arial" w:hAnsi="Arial" w:cs="Arial"/>
          <w:b/>
          <w:bCs/>
          <w:sz w:val="28"/>
          <w:szCs w:val="36"/>
        </w:rPr>
      </w:pPr>
      <w:r>
        <w:rPr>
          <w:rFonts w:ascii="Arial" w:hAnsi="Arial" w:cs="Arial"/>
          <w:b/>
          <w:bCs/>
          <w:sz w:val="28"/>
          <w:szCs w:val="36"/>
        </w:rPr>
        <w:t>Introduction</w:t>
      </w:r>
    </w:p>
    <w:p w14:paraId="05D36C31" w14:textId="3519B0A4" w:rsidR="00F149BF" w:rsidRDefault="00F149BF" w:rsidP="00F149BF">
      <w:r>
        <w:t>In the field of computational and systems biology, the study of protein-ligand interactions and protein stability play a significant role in understanding many biological processes. Proteins like L99A T4L (3DMV)</w:t>
      </w:r>
      <w:r w:rsidR="00AB4AF7">
        <w:fldChar w:fldCharType="begin"/>
      </w:r>
      <w:r w:rsidR="00AB4AF7">
        <w:instrText xml:space="preserve"> ADDIN ZOTERO_ITEM CSL_CITATION {"citationID":"0Yidm80t","properties":{"formattedCitation":"(Blaber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AB4AF7">
        <w:fldChar w:fldCharType="separate"/>
      </w:r>
      <w:r w:rsidR="00AB4AF7" w:rsidRPr="00AB4AF7">
        <w:rPr>
          <w:rFonts w:ascii="DengXian" w:eastAsia="DengXian" w:cs="Times New Roman"/>
          <w:kern w:val="0"/>
        </w:rPr>
        <w:t xml:space="preserve">(Blaber </w:t>
      </w:r>
      <w:r w:rsidR="00AB4AF7" w:rsidRPr="00AB4AF7">
        <w:rPr>
          <w:rFonts w:ascii="DengXian" w:eastAsia="DengXian" w:cs="Times New Roman"/>
          <w:i/>
          <w:iCs/>
          <w:kern w:val="0"/>
        </w:rPr>
        <w:t>et al.</w:t>
      </w:r>
      <w:r w:rsidR="00AB4AF7" w:rsidRPr="00AB4AF7">
        <w:rPr>
          <w:rFonts w:ascii="DengXian" w:eastAsia="DengXian" w:cs="Times New Roman"/>
          <w:kern w:val="0"/>
        </w:rPr>
        <w:t>, 1993)</w:t>
      </w:r>
      <w:r w:rsidR="00AB4AF7">
        <w:fldChar w:fldCharType="end"/>
      </w:r>
      <w:r>
        <w:t>, which exhibits unique structural characteristics and dynamic behavior, have drawn the attention of researchers. Prior work, as evidenced in several literature sources, has established L99A T4L as an exemplary model system for exploring protein structure and dynamics due to its distinctive cavity structure and its existence in two relatively stable conformations.</w:t>
      </w:r>
    </w:p>
    <w:p w14:paraId="1AEA3D3D" w14:textId="77777777" w:rsidR="00F149BF" w:rsidRDefault="00F149BF" w:rsidP="00F149BF"/>
    <w:p w14:paraId="273C11CC" w14:textId="5AD2F7DF" w:rsidR="00F149BF" w:rsidRDefault="00F149BF" w:rsidP="00F149BF">
      <w:r>
        <w:t>This project aims to further investigate the intriguing properties of the L99A T4L protein</w:t>
      </w:r>
      <w:r w:rsidR="00CE6570">
        <w:fldChar w:fldCharType="begin"/>
      </w:r>
      <w:r w:rsidR="00CE6570">
        <w:instrText xml:space="preserve"> ADDIN ZOTERO_ITEM CSL_CITATION {"citationID":"E3EQRfBt","properties":{"formattedCitation":"(Liu, Baase and Matthews, 2009)","plainCitation":"(Liu, Baase and Matthews, 2009)","noteIndex":0},"citationItems":[{"id":207,"uris":["http://zotero.org/users/6918432/items/GY8QAHTE"],"itemData":{"id":207,"type":"article-journal","container-title":"Journal of Molecular Biology","DOI":"10.1016/j.jmb.2008.10.086","ISSN":"00222836","issue":"2","journalAbbreviation":"Journal of Molecular Biology","language":"en","page":"595-605","source":"DOI.org (Crossref)","title":"Halogenated Benzenes Bound within a Non-polar Cavity in T4 Lysozyme Provide Examples of I</w:instrText>
      </w:r>
      <w:r w:rsidR="00CE6570">
        <w:rPr>
          <w:rFonts w:ascii="Cambria Math" w:hAnsi="Cambria Math" w:cs="Cambria Math"/>
        </w:rPr>
        <w:instrText>⋯</w:instrText>
      </w:r>
      <w:r w:rsidR="00CE6570">
        <w:instrText>S and I</w:instrText>
      </w:r>
      <w:r w:rsidR="00CE6570">
        <w:rPr>
          <w:rFonts w:ascii="Cambria Math" w:hAnsi="Cambria Math" w:cs="Cambria Math"/>
        </w:rPr>
        <w:instrText>⋯</w:instrText>
      </w:r>
      <w:r w:rsidR="00CE6570">
        <w:instrText xml:space="preserve">Se Halogen-bonding","volume":"385","author":[{"family":"Liu","given":"Lijun"},{"family":"Baase","given":"Walter A."},{"family":"Matthews","given":"Brian W."}],"issued":{"date-parts":[["2009",1]]}}}],"schema":"https://github.com/citation-style-language/schema/raw/master/csl-citation.json"} </w:instrText>
      </w:r>
      <w:r w:rsidR="00CE6570">
        <w:fldChar w:fldCharType="separate"/>
      </w:r>
      <w:r w:rsidR="00CE6570">
        <w:rPr>
          <w:noProof/>
        </w:rPr>
        <w:t>(Liu, Baase and Matthews, 2009)</w:t>
      </w:r>
      <w:r w:rsidR="00CE6570">
        <w:fldChar w:fldCharType="end"/>
      </w:r>
      <w:r>
        <w:t>, focusing on understanding the effects of mutations on protein stability and how such alterations influence ligand binding. Such understanding is essential for computational and systems biology as it could lead to enhanced predictive capabilities regarding protein behaviors and interactions, potentially informing drug discovery and design eff</w:t>
      </w:r>
      <w:r w:rsidR="00AB4AF7">
        <w:t>ects</w:t>
      </w:r>
      <w:r w:rsidR="009926E7">
        <w:fldChar w:fldCharType="begin"/>
      </w:r>
      <w:r w:rsidR="009926E7">
        <w:instrText xml:space="preserve"> ADDIN ZOTERO_ITEM CSL_CITATION {"citationID":"55vyfV2a","properties":{"formattedCitation":"(Blaber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9926E7">
        <w:fldChar w:fldCharType="separate"/>
      </w:r>
      <w:r w:rsidR="009926E7" w:rsidRPr="009926E7">
        <w:rPr>
          <w:rFonts w:ascii="DengXian" w:eastAsia="DengXian" w:cs="Times New Roman"/>
          <w:kern w:val="0"/>
        </w:rPr>
        <w:t xml:space="preserve">(Blaber </w:t>
      </w:r>
      <w:r w:rsidR="009926E7" w:rsidRPr="009926E7">
        <w:rPr>
          <w:rFonts w:ascii="DengXian" w:eastAsia="DengXian" w:cs="Times New Roman"/>
          <w:i/>
          <w:iCs/>
          <w:kern w:val="0"/>
        </w:rPr>
        <w:t>et al.</w:t>
      </w:r>
      <w:r w:rsidR="009926E7" w:rsidRPr="009926E7">
        <w:rPr>
          <w:rFonts w:ascii="DengXian" w:eastAsia="DengXian" w:cs="Times New Roman"/>
          <w:kern w:val="0"/>
        </w:rPr>
        <w:t>, 1993)</w:t>
      </w:r>
      <w:r w:rsidR="009926E7">
        <w:fldChar w:fldCharType="end"/>
      </w:r>
      <w:r>
        <w:t>.</w:t>
      </w:r>
    </w:p>
    <w:p w14:paraId="46838145" w14:textId="77777777" w:rsidR="00F149BF" w:rsidRDefault="00F149BF" w:rsidP="00F149BF"/>
    <w:p w14:paraId="3E031CD1" w14:textId="77777777" w:rsidR="00F149BF" w:rsidRDefault="00F149BF" w:rsidP="00F149BF">
      <w:r>
        <w:t>Our specific objectives for this project are as follows:</w:t>
      </w:r>
    </w:p>
    <w:p w14:paraId="18755538" w14:textId="77777777" w:rsidR="00F149BF" w:rsidRDefault="00F149BF" w:rsidP="00F149BF"/>
    <w:p w14:paraId="68531045" w14:textId="3F159C53" w:rsidR="00F149BF" w:rsidRDefault="00F149BF" w:rsidP="00F149BF">
      <w:r>
        <w:t>An alanine scan of 3DMV will be performed. The purpose of this scan is to investigate the role of specific side chains in maintaining protein stability. This approach could provide insights into the parts of the protein structure that are most critical for its stability.</w:t>
      </w:r>
    </w:p>
    <w:p w14:paraId="55A4197B" w14:textId="77777777" w:rsidR="00F149BF" w:rsidRDefault="00F149BF" w:rsidP="00F149BF"/>
    <w:p w14:paraId="13726B8A" w14:textId="77777777" w:rsidR="00F149BF" w:rsidRDefault="00F149BF" w:rsidP="00F149BF">
      <w:r>
        <w:t>We aim to study the impacts of mutations on the primary and secondary conformations of the protein. Understanding the possible alterations in stability and conformation due to mutations could reveal underlying principles of protein dynamics.</w:t>
      </w:r>
    </w:p>
    <w:p w14:paraId="2794372B" w14:textId="77777777" w:rsidR="00F149BF" w:rsidRDefault="00F149BF" w:rsidP="00F149BF"/>
    <w:p w14:paraId="7C1542A3" w14:textId="77777777" w:rsidR="00F149BF" w:rsidRDefault="00F149BF" w:rsidP="00F149BF">
      <w:r>
        <w:t xml:space="preserve">Our project will investigate the docking behaviors of the protein. We aim to understand whether the </w:t>
      </w:r>
      <w:r>
        <w:lastRenderedPageBreak/>
        <w:t>protein adopts different conformations for docking different ligands and how the same ligand docks with different conformations. This exploration will deepen our understanding of the intricacies of protein-ligand interactions.</w:t>
      </w:r>
    </w:p>
    <w:p w14:paraId="56AA5522" w14:textId="77777777" w:rsidR="00F149BF" w:rsidRDefault="00F149BF" w:rsidP="00F149BF"/>
    <w:p w14:paraId="5F90E52C" w14:textId="50DBB3B4" w:rsidR="00F149BF" w:rsidRDefault="00F149BF" w:rsidP="00F149BF">
      <w:r>
        <w:t>The research hypotheses for this project are mainly derived from a literature review, particularly the work featured in PNAS 2021 regarding the three open states of L99A</w:t>
      </w:r>
      <w:r w:rsidR="00EA648C">
        <w:t xml:space="preserve"> </w:t>
      </w:r>
      <w:r w:rsidR="00EA648C">
        <w:fldChar w:fldCharType="begin"/>
      </w:r>
      <w:r w:rsidR="00EA648C">
        <w:instrText xml:space="preserve"> ADDIN ZOTERO_ITEM CSL_CITATION {"citationID":"HpRgwwYx","properties":{"formattedCitation":"(Kamenik {\\i{}et al.}, 2021)","plainCitation":"(Kamenik et al., 2021)","noteIndex":0},"citationItems":[{"id":200,"uris":["http://zotero.org/users/6918432/items/6KY4UZT9"],"itemData":{"id":200,"type":"article-journal","abstract":"Significance\n            \n              The dynamic nature of biomolecules is typically neglected in docking screens for ligand discovery. The key to benefitting from various receptor conformations is not only structural but also thermodynamic information. Here, we test a general approach that uses conformational preferences from enhanced and conventional molecular dynamics simulations to account for the cost of transitions to high-energy states. Including this information as a conformational penalty term in a docking, scoring function, we perform retrospective and prospective screens and experimentally confirm predicted ligands with T\n              m\n              upshift and X-ray crystallography. This not only allows us to test the predicted ligands for binding, it also tests whether they bind to the conformation of the binding site for which they were predicted.\n            \n          , \n            \n              Protein flexibility remains a major challenge in library docking because of difficulties in sampling conformational ensembles with accurate probabilities. Here, we use the model cavity site of T4 lysozyme L99A to test flexible receptor docking with energy penalties from molecular dynamics (MD) simulations. Crystallography with larger and smaller ligands indicates that this cavity can adopt three major conformations: open, intermediate, and closed. Since smaller ligands typically bind better to the cavity site, we anticipate an energy penalty for the cavity opening. To estimate its magnitude, we calculate conformational preferences from MD simulations. We find that including a penalty term is essential for retrospective ligand enrichment; otherwise, high-energy states dominate the docking. We then prospectively docked a library of over 900,000 compounds for new molecules binding to each conformational state. Absent a penalty term, the open conformation dominated the docking results; inclusion of this term led to a balanced sampling of ligands against each state. High ranked molecules were experimentally tested by T\n              m\n              upshift and X-ray crystallography. From 33 selected molecules, we identified 18 ligands and determined 13 crystal structures. Most interesting were those bound to the open cavity, where the buried site opens to bulk solvent. Here, highly unusual ligands for this cavity had been predicted, including large ligands with polar tails; these were confirmed both by binding and by crystallography. In docking, incorporating protein flexibility with thermodynamic weightings may thus access new ligand chemotypes. The MD approach to accessing and, crucially, weighting such alternative states may find general applicability.","container-title":"Proceedings of the National Academy of Sciences","DOI":"10.1073/pnas.2106195118","ISSN":"0027-8424, 1091-6490","issue":"36","journalAbbreviation":"Proc. Natl. Acad. Sci. U.S.A.","language":"en","page":"e2106195118","source":"DOI.org (Crossref)","title":"Energy penalties enhance flexible receptor docking in a model cavity","volume":"118","author":[{"family":"Kamenik","given":"Anna S."},{"family":"Singh","given":"Isha"},{"family":"Lak","given":"Parnian"},{"family":"Balius","given":"Trent E."},{"family":"Liedl","given":"Klaus R."},{"family":"Shoichet","given":"Brian K."}],"issued":{"date-parts":[["2021",9,7]]}}}],"schema":"https://github.com/citation-style-language/schema/raw/master/csl-citation.json"} </w:instrText>
      </w:r>
      <w:r w:rsidR="00EA648C">
        <w:fldChar w:fldCharType="separate"/>
      </w:r>
      <w:r w:rsidR="00EA648C" w:rsidRPr="00EA648C">
        <w:rPr>
          <w:rFonts w:ascii="DengXian" w:eastAsia="DengXian" w:cs="Times New Roman"/>
          <w:kern w:val="0"/>
        </w:rPr>
        <w:t xml:space="preserve">(Kamenik </w:t>
      </w:r>
      <w:r w:rsidR="00EA648C" w:rsidRPr="00EA648C">
        <w:rPr>
          <w:rFonts w:ascii="DengXian" w:eastAsia="DengXian" w:cs="Times New Roman"/>
          <w:i/>
          <w:iCs/>
          <w:kern w:val="0"/>
        </w:rPr>
        <w:t>et al.</w:t>
      </w:r>
      <w:r w:rsidR="00EA648C" w:rsidRPr="00EA648C">
        <w:rPr>
          <w:rFonts w:ascii="DengXian" w:eastAsia="DengXian" w:cs="Times New Roman"/>
          <w:kern w:val="0"/>
        </w:rPr>
        <w:t>, 2021)</w:t>
      </w:r>
      <w:r w:rsidR="00EA648C">
        <w:fldChar w:fldCharType="end"/>
      </w:r>
      <w:r>
        <w:t>. One of our assumptions is that certain mutations, such as those at positions G113 and R119P, might significantly impact protein conformation and stability. Another hypothesis is that the protein-ligand docking process could be highly dependent on the conformational state of the protein.</w:t>
      </w:r>
    </w:p>
    <w:p w14:paraId="54B4B16F" w14:textId="77777777" w:rsidR="00F149BF" w:rsidRDefault="00F149BF" w:rsidP="00F149BF"/>
    <w:p w14:paraId="3307D11B" w14:textId="77777777" w:rsidR="00F149BF" w:rsidRDefault="00F149BF" w:rsidP="00F149BF">
      <w:r>
        <w:t>By achieving these objectives and testing our hypotheses, we plan to contribute valuable insights to the field of computational and systems biology, specifically in the areas of protein structure, dynamics, and protein-ligand interactions.</w:t>
      </w:r>
    </w:p>
    <w:p w14:paraId="38BABE07" w14:textId="77777777" w:rsidR="00E93771" w:rsidRPr="00F149BF" w:rsidRDefault="00E93771" w:rsidP="00E93771">
      <w:pPr>
        <w:spacing w:line="276" w:lineRule="auto"/>
        <w:rPr>
          <w:rFonts w:ascii="Arial" w:hAnsi="Arial" w:cs="Arial"/>
        </w:rPr>
      </w:pPr>
    </w:p>
    <w:p w14:paraId="0927032D" w14:textId="200B9EE0"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Method</w:t>
      </w:r>
    </w:p>
    <w:p w14:paraId="62C82ED4" w14:textId="77777777" w:rsidR="00F149BF" w:rsidRDefault="00F149BF" w:rsidP="00F149BF">
      <w:r>
        <w:t>Our computational exploration of the L99A T4L protein was carried out in several key steps involving data preparation, computational modeling, data processing, and data visualization. These steps, detailed below, utilized a combination of established bioinformatics tools, scripts, and methods to answer our research questions.</w:t>
      </w:r>
    </w:p>
    <w:p w14:paraId="34B9680A" w14:textId="77777777" w:rsidR="00F149BF" w:rsidRDefault="00F149BF" w:rsidP="00F149BF"/>
    <w:p w14:paraId="47D9061F" w14:textId="2F6E256E" w:rsidR="00F149BF" w:rsidRDefault="00F149BF" w:rsidP="00F149BF">
      <w:r>
        <w:t>1. Data Preparation: The first step involved retrieving the necessary protein and ligand structure data from reliable online databases. The Protein Data Bank (PDB) and PubChem were used for this purpose. To prepare the protein structure files for further analysis, we utilized a Python script to remove any included water molecules and ligands from the experimental data. This step was crucial in ensuring that the protein structures used in subsequent analyses were devoid of any interfering entities.</w:t>
      </w:r>
    </w:p>
    <w:p w14:paraId="6BCCBFD5" w14:textId="77777777" w:rsidR="00F149BF" w:rsidRDefault="00F149BF" w:rsidP="00F149BF"/>
    <w:p w14:paraId="28E82FCA" w14:textId="602F31F9" w:rsidR="00F149BF" w:rsidRDefault="00F149BF" w:rsidP="00F149BF">
      <w:r>
        <w:t>2. Alanine Scanning and Mutational Modeling: We utilized FoldX, a popular bioinformatics tool, to conduct an alanine scan on the target protein molecule. Command line 1 was used to execute this scan, which aimed to evaluate the role of specific amino acid side chains in maintaining protein stability. FoldX was also used to simulate different mutations on the target molecule. For this,</w:t>
      </w:r>
      <w:r w:rsidR="0007139A">
        <w:t xml:space="preserve"> a</w:t>
      </w:r>
      <w:r>
        <w:t xml:space="preserve"> Python script</w:t>
      </w:r>
      <w:r w:rsidR="0007139A">
        <w:t xml:space="preserve"> </w:t>
      </w:r>
      <w:r>
        <w:t>was utilized to generate mutation files, which introduced mutations substituting all Val with Thr and all Ala with Ser.</w:t>
      </w:r>
    </w:p>
    <w:p w14:paraId="6E7E10F3" w14:textId="77777777" w:rsidR="00F149BF" w:rsidRDefault="00F149BF" w:rsidP="00F149BF"/>
    <w:p w14:paraId="755D3FCC" w14:textId="77777777" w:rsidR="00F149BF" w:rsidRDefault="00F149BF" w:rsidP="00F149BF">
      <w:r>
        <w:t>3. Data Processing: The output files generated by FoldX were then processed using Python script 2. This script was used to create .attr files, which defined the residue attributes for subsequent visualization. In addition to this, the script extracted the calculated folding free energy differences (ΔΔG) for the different mutations.</w:t>
      </w:r>
    </w:p>
    <w:p w14:paraId="15656953" w14:textId="77777777" w:rsidR="00F149BF" w:rsidRDefault="00F149BF" w:rsidP="00F149BF"/>
    <w:p w14:paraId="6E866480" w14:textId="77777777" w:rsidR="00F149BF" w:rsidRDefault="00F149BF" w:rsidP="00F149BF">
      <w:r>
        <w:t>4. Conformational Simulation: To simulate the different conformations of the L99A T4L protein, we downloaded three protein structures from a PNAS paper (https://www.pnas.org/doi/epdf/10.1073/pnas.2106195118) and used these as a scaffold for introducing mutations (G113A, R119P, and F114A). The impacts of these mutations on folding free energy were calculated using FoldX.</w:t>
      </w:r>
    </w:p>
    <w:p w14:paraId="34CA6A0D" w14:textId="77777777" w:rsidR="00F149BF" w:rsidRDefault="00F149BF" w:rsidP="00F149BF"/>
    <w:p w14:paraId="54534FC2" w14:textId="77777777" w:rsidR="00F149BF" w:rsidRDefault="00F149BF" w:rsidP="00F149BF">
      <w:r>
        <w:t xml:space="preserve">5. Molecular Docking: AutoDock Vina was used for molecular docking. The three different conformations </w:t>
      </w:r>
      <w:r>
        <w:lastRenderedPageBreak/>
        <w:t>of the mutated protein were paired with three different-sized ligands, and AutoDock Vina calculated the binding scores for these combinations. This step was crucial in understanding how the protein interacts with different ligands.</w:t>
      </w:r>
    </w:p>
    <w:p w14:paraId="1B27B9EB" w14:textId="77777777" w:rsidR="00F149BF" w:rsidRDefault="00F149BF" w:rsidP="00F149BF"/>
    <w:p w14:paraId="5E142A2F" w14:textId="77777777" w:rsidR="00F149BF" w:rsidRDefault="00F149BF" w:rsidP="00F149BF">
      <w:r>
        <w:t>6. Data Visualization: Finally, the protein structures were visualized using PyMOL and Chimera, enabling the impacts of the alanine mutations and other mutations to be clearly seen. The .attr files created in the data processing stage were used for this purpose.</w:t>
      </w:r>
    </w:p>
    <w:p w14:paraId="46A347A8" w14:textId="77777777" w:rsidR="00F149BF" w:rsidRDefault="00F149BF" w:rsidP="00F149BF"/>
    <w:p w14:paraId="0100D82B" w14:textId="77777777" w:rsidR="00F149BF" w:rsidRDefault="00F149BF" w:rsidP="00F149BF">
      <w:r>
        <w:t>The methods detailed above enabled us to address our research questions from a computational standpoint effectively. The process, as outlined, is reproducible and can be implemented by other researchers for similar investigations.</w:t>
      </w:r>
    </w:p>
    <w:p w14:paraId="18719ED3" w14:textId="77777777" w:rsidR="00F149BF" w:rsidRDefault="00F149BF" w:rsidP="00F149BF"/>
    <w:p w14:paraId="38B18FDE" w14:textId="1235BD2C" w:rsidR="00E93771" w:rsidRPr="00F149BF" w:rsidRDefault="00F149BF" w:rsidP="00F149BF">
      <w:r>
        <w:t xml:space="preserve">For further details, including the necessary data and scripts, please refer to </w:t>
      </w:r>
      <w:r>
        <w:rPr>
          <w:rFonts w:hint="eastAsia"/>
        </w:rPr>
        <w:t>my</w:t>
      </w:r>
      <w:r>
        <w:t xml:space="preserve"> GitHub repository at (</w:t>
      </w:r>
      <w:r w:rsidRPr="00F149BF">
        <w:t>https://github.com/Shu-o/CBSBminiproject</w:t>
      </w:r>
      <w:r>
        <w:t>).</w:t>
      </w:r>
    </w:p>
    <w:p w14:paraId="28C14DD4" w14:textId="77777777" w:rsidR="00E93771" w:rsidRPr="00E93771" w:rsidRDefault="00E93771" w:rsidP="00E93771">
      <w:pPr>
        <w:spacing w:line="276" w:lineRule="auto"/>
        <w:rPr>
          <w:rFonts w:ascii="Arial" w:hAnsi="Arial" w:cs="Arial"/>
        </w:rPr>
      </w:pPr>
    </w:p>
    <w:p w14:paraId="0EE90C2C" w14:textId="48723D1F" w:rsidR="00E93771" w:rsidRPr="00E93771" w:rsidRDefault="0031171F" w:rsidP="00E93771">
      <w:pPr>
        <w:spacing w:line="276" w:lineRule="auto"/>
        <w:rPr>
          <w:rFonts w:ascii="Arial" w:hAnsi="Arial" w:cs="Arial"/>
          <w:b/>
          <w:bCs/>
          <w:sz w:val="28"/>
          <w:szCs w:val="36"/>
        </w:rPr>
      </w:pPr>
      <w:r>
        <w:rPr>
          <w:rFonts w:ascii="Arial" w:hAnsi="Arial" w:cs="Arial"/>
          <w:b/>
          <w:bCs/>
          <w:sz w:val="28"/>
          <w:szCs w:val="36"/>
        </w:rPr>
        <w:t>Result</w:t>
      </w:r>
    </w:p>
    <w:p w14:paraId="295EEB04" w14:textId="77777777" w:rsidR="00F149BF" w:rsidRDefault="00F149BF" w:rsidP="00F149BF">
      <w:r>
        <w:t>Our study primarily sought to understand the dynamics of amino acid side-chain interactions within the protein L99A T4L and how they contribute to protein stability. We also aimed to explore the conformational variations of this protein and their implications for ligand binding.</w:t>
      </w:r>
    </w:p>
    <w:p w14:paraId="396AB6B8" w14:textId="77777777" w:rsidR="00F149BF" w:rsidRDefault="00F149BF" w:rsidP="00F149BF"/>
    <w:p w14:paraId="4DF08882" w14:textId="77777777" w:rsidR="00F149BF" w:rsidRDefault="00F149BF" w:rsidP="00F149BF">
      <w:r>
        <w:t xml:space="preserve">Protein Stability and Amino Acid Mutations: </w:t>
      </w:r>
    </w:p>
    <w:p w14:paraId="1FB1D100" w14:textId="1C0F087D" w:rsidR="00F149BF" w:rsidRDefault="00F149BF" w:rsidP="00F149BF">
      <w:r>
        <w:t>Our results revealed that mutating long non-polar amino acid side chains extending into the protein interior to alanine resulted in significant destabilization</w:t>
      </w:r>
      <w:r w:rsidR="004A66BC">
        <w:t xml:space="preserve"> </w:t>
      </w:r>
      <w:r w:rsidR="004A66BC">
        <w:rPr>
          <w:rFonts w:hint="eastAsia"/>
        </w:rPr>
        <w:t>(</w:t>
      </w:r>
      <w:r w:rsidR="004A66BC">
        <w:t>Fig.1</w:t>
      </w:r>
      <w:r w:rsidR="004A66BC">
        <w:rPr>
          <w:rFonts w:hint="eastAsia"/>
        </w:rPr>
        <w:t>)</w:t>
      </w:r>
      <w:r>
        <w:t>. This was evident from the FoldX calculations, where a substantial increase in folding free energy differences (ΔΔG) was observed. Similarly, under conditions where the side chain size was controlled, the change of non-polar side chains in the protein interior to polar side chains (Ala to Ser, Val to Thr) also led to substantial destabilization</w:t>
      </w:r>
      <w:r w:rsidR="004A66BC">
        <w:t xml:space="preserve"> (Fig.2)</w:t>
      </w:r>
      <w:r>
        <w:t>.</w:t>
      </w:r>
      <w:r>
        <w:rPr>
          <w:rFonts w:hint="eastAsia"/>
        </w:rPr>
        <w:t xml:space="preserve"> </w:t>
      </w:r>
      <w:r>
        <w:t>These findings highlight the vital role that non-polar amino acid side chains play in maintaining protein stability, with their removal or substitution resulting in a marked shift</w:t>
      </w:r>
      <w:r w:rsidR="000B3F47">
        <w:t xml:space="preserve"> </w:t>
      </w:r>
      <w:r w:rsidR="000B3F47">
        <w:fldChar w:fldCharType="begin"/>
      </w:r>
      <w:r w:rsidR="000B3F47">
        <w:instrText xml:space="preserve"> ADDIN ZOTERO_ITEM CSL_CITATION {"citationID":"UVm4BTBh","properties":{"formattedCitation":"(Bouvignies {\\i{}et al.}, 2011)","plainCitation":"(Bouvignies et al., 2011)","noteIndex":0},"citationItems":[{"id":208,"uris":["http://zotero.org/users/6918432/items/MVQVLPLD"],"itemData":{"id":208,"type":"article-journal","container-title":"Nature","DOI":"10.1038/nature10349","ISSN":"0028-0836, 1476-4687","issue":"7362","journalAbbreviation":"Nature","language":"en","page":"111-114","source":"DOI.org (Crossref)","title":"Solution structure of a minor and transiently formed state of a T4 lysozyme mutant","volume":"477","author":[{"family":"Bouvignies","given":"Guillaume"},{"family":"Vallurupalli","given":"Pramodh"},{"family":"Hansen","given":"D. Flemming"},{"family":"Correia","given":"Bruno E."},{"family":"Lange","given":"Oliver"},{"family":"Bah","given":"Alaji"},{"family":"Vernon","given":"Robert M."},{"family":"Dahlquist","given":"Frederick W."},{"family":"Baker","given":"David"},{"family":"Kay","given":"Lewis E."}],"issued":{"date-parts":[["2011",9]]}}}],"schema":"https://github.com/citation-style-language/schema/raw/master/csl-citation.json"} </w:instrText>
      </w:r>
      <w:r w:rsidR="000B3F47">
        <w:fldChar w:fldCharType="separate"/>
      </w:r>
      <w:r w:rsidR="000B3F47" w:rsidRPr="000B3F47">
        <w:rPr>
          <w:rFonts w:ascii="DengXian" w:eastAsia="DengXian" w:cs="Times New Roman"/>
          <w:kern w:val="0"/>
        </w:rPr>
        <w:t xml:space="preserve">(Bouvignies </w:t>
      </w:r>
      <w:r w:rsidR="000B3F47" w:rsidRPr="000B3F47">
        <w:rPr>
          <w:rFonts w:ascii="DengXian" w:eastAsia="DengXian" w:cs="Times New Roman"/>
          <w:i/>
          <w:iCs/>
          <w:kern w:val="0"/>
        </w:rPr>
        <w:t>et al.</w:t>
      </w:r>
      <w:r w:rsidR="000B3F47" w:rsidRPr="000B3F47">
        <w:rPr>
          <w:rFonts w:ascii="DengXian" w:eastAsia="DengXian" w:cs="Times New Roman"/>
          <w:kern w:val="0"/>
        </w:rPr>
        <w:t>, 2011)</w:t>
      </w:r>
      <w:r w:rsidR="000B3F47">
        <w:fldChar w:fldCharType="end"/>
      </w:r>
      <w:r>
        <w:t xml:space="preserve"> in the protein's structural stability.</w:t>
      </w:r>
    </w:p>
    <w:p w14:paraId="03ABA473" w14:textId="6A84DF86" w:rsidR="00F149BF" w:rsidRDefault="00A55D1C" w:rsidP="00F149BF">
      <w:r>
        <w:rPr>
          <w:noProof/>
        </w:rPr>
        <w:drawing>
          <wp:anchor distT="0" distB="0" distL="114300" distR="114300" simplePos="0" relativeHeight="251659264" behindDoc="0" locked="0" layoutInCell="1" allowOverlap="1" wp14:anchorId="0DDE3027" wp14:editId="388A4FA1">
            <wp:simplePos x="0" y="0"/>
            <wp:positionH relativeFrom="column">
              <wp:posOffset>2962910</wp:posOffset>
            </wp:positionH>
            <wp:positionV relativeFrom="paragraph">
              <wp:posOffset>209550</wp:posOffset>
            </wp:positionV>
            <wp:extent cx="2743200" cy="2637790"/>
            <wp:effectExtent l="0" t="0" r="0" b="3810"/>
            <wp:wrapSquare wrapText="bothSides"/>
            <wp:docPr id="356808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8154" name="图片 35680815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43200" cy="2637790"/>
                    </a:xfrm>
                    <a:prstGeom prst="rect">
                      <a:avLst/>
                    </a:prstGeom>
                  </pic:spPr>
                </pic:pic>
              </a:graphicData>
            </a:graphic>
            <wp14:sizeRelH relativeFrom="page">
              <wp14:pctWidth>0</wp14:pctWidth>
            </wp14:sizeRelH>
            <wp14:sizeRelV relativeFrom="page">
              <wp14:pctHeight>0</wp14:pctHeight>
            </wp14:sizeRelV>
          </wp:anchor>
        </w:drawing>
      </w:r>
    </w:p>
    <w:p w14:paraId="706E4EF0" w14:textId="0D896218" w:rsidR="00A55D1C" w:rsidRDefault="00A55D1C" w:rsidP="00F149BF">
      <w:r>
        <w:rPr>
          <w:noProof/>
        </w:rPr>
        <w:drawing>
          <wp:anchor distT="0" distB="0" distL="114300" distR="114300" simplePos="0" relativeHeight="251658240" behindDoc="0" locked="0" layoutInCell="1" allowOverlap="1" wp14:anchorId="1DC6255B" wp14:editId="1DFE8060">
            <wp:simplePos x="0" y="0"/>
            <wp:positionH relativeFrom="column">
              <wp:posOffset>0</wp:posOffset>
            </wp:positionH>
            <wp:positionV relativeFrom="paragraph">
              <wp:posOffset>8255</wp:posOffset>
            </wp:positionV>
            <wp:extent cx="2760345" cy="2569845"/>
            <wp:effectExtent l="0" t="0" r="0" b="0"/>
            <wp:wrapSquare wrapText="bothSides"/>
            <wp:docPr id="12111444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4402" name="图片 12111444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345" cy="2569845"/>
                    </a:xfrm>
                    <a:prstGeom prst="rect">
                      <a:avLst/>
                    </a:prstGeom>
                  </pic:spPr>
                </pic:pic>
              </a:graphicData>
            </a:graphic>
            <wp14:sizeRelH relativeFrom="page">
              <wp14:pctWidth>0</wp14:pctWidth>
            </wp14:sizeRelH>
            <wp14:sizeRelV relativeFrom="page">
              <wp14:pctHeight>0</wp14:pctHeight>
            </wp14:sizeRelV>
          </wp:anchor>
        </w:drawing>
      </w:r>
    </w:p>
    <w:p w14:paraId="7D00A9E8" w14:textId="49F86185" w:rsidR="00A55D1C" w:rsidRPr="00A55D1C" w:rsidRDefault="00A55D1C" w:rsidP="00A55D1C">
      <w:pPr>
        <w:rPr>
          <w:sz w:val="20"/>
          <w:szCs w:val="22"/>
        </w:rPr>
      </w:pPr>
      <w:r w:rsidRPr="00A55D1C">
        <w:rPr>
          <w:sz w:val="20"/>
          <w:szCs w:val="22"/>
        </w:rPr>
        <w:lastRenderedPageBreak/>
        <w:t>Figure 1. Results of Alanine Scanning.</w:t>
      </w:r>
    </w:p>
    <w:p w14:paraId="20F6C9C8" w14:textId="1D831CE6" w:rsidR="00A55D1C" w:rsidRPr="00A55D1C" w:rsidRDefault="00A55D1C" w:rsidP="00A55D1C">
      <w:pPr>
        <w:rPr>
          <w:sz w:val="20"/>
          <w:szCs w:val="22"/>
        </w:rPr>
      </w:pPr>
      <w:r w:rsidRPr="00A55D1C">
        <w:rPr>
          <w:sz w:val="20"/>
          <w:szCs w:val="22"/>
        </w:rPr>
        <w:t>In this figure, the red regions denote the residues where mutation to alanine had a large destabilizing effect on the protein structure, signifying the importance of these residues in maintaining protein stability. On the other hand, the blue regions indicate the residues where mutation to alanine had a relatively small destabilizing effect.</w:t>
      </w:r>
    </w:p>
    <w:p w14:paraId="278BB2DA" w14:textId="77777777" w:rsidR="00A55D1C" w:rsidRDefault="00A55D1C" w:rsidP="00F149BF"/>
    <w:p w14:paraId="15DFD008" w14:textId="5977A546" w:rsidR="004A66BC" w:rsidRDefault="004A66BC" w:rsidP="00F149BF">
      <w:r>
        <w:rPr>
          <w:rFonts w:hint="eastAsia"/>
          <w:noProof/>
        </w:rPr>
        <w:drawing>
          <wp:anchor distT="0" distB="0" distL="114300" distR="114300" simplePos="0" relativeHeight="251661312" behindDoc="0" locked="0" layoutInCell="1" allowOverlap="1" wp14:anchorId="376E9C21" wp14:editId="58E609DD">
            <wp:simplePos x="0" y="0"/>
            <wp:positionH relativeFrom="column">
              <wp:posOffset>3077210</wp:posOffset>
            </wp:positionH>
            <wp:positionV relativeFrom="paragraph">
              <wp:posOffset>40005</wp:posOffset>
            </wp:positionV>
            <wp:extent cx="3027045" cy="2654935"/>
            <wp:effectExtent l="0" t="0" r="0" b="0"/>
            <wp:wrapSquare wrapText="bothSides"/>
            <wp:docPr id="10445178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7842" name="图片 10445178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7045" cy="265493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0288" behindDoc="0" locked="0" layoutInCell="1" allowOverlap="1" wp14:anchorId="643656BD" wp14:editId="218857C1">
            <wp:simplePos x="0" y="0"/>
            <wp:positionH relativeFrom="column">
              <wp:posOffset>-635</wp:posOffset>
            </wp:positionH>
            <wp:positionV relativeFrom="paragraph">
              <wp:posOffset>41910</wp:posOffset>
            </wp:positionV>
            <wp:extent cx="2748915" cy="2628900"/>
            <wp:effectExtent l="0" t="0" r="0" b="0"/>
            <wp:wrapSquare wrapText="bothSides"/>
            <wp:docPr id="2497964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6464" name="图片 2497964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8915" cy="2628900"/>
                    </a:xfrm>
                    <a:prstGeom prst="rect">
                      <a:avLst/>
                    </a:prstGeom>
                  </pic:spPr>
                </pic:pic>
              </a:graphicData>
            </a:graphic>
            <wp14:sizeRelH relativeFrom="page">
              <wp14:pctWidth>0</wp14:pctWidth>
            </wp14:sizeRelH>
            <wp14:sizeRelV relativeFrom="page">
              <wp14:pctHeight>0</wp14:pctHeight>
            </wp14:sizeRelV>
          </wp:anchor>
        </w:drawing>
      </w:r>
    </w:p>
    <w:p w14:paraId="32872E29" w14:textId="0AFC8314" w:rsidR="004C6E81" w:rsidRPr="004C6E81" w:rsidRDefault="004C6E81" w:rsidP="004C6E81">
      <w:pPr>
        <w:rPr>
          <w:sz w:val="20"/>
          <w:szCs w:val="22"/>
        </w:rPr>
      </w:pPr>
      <w:r w:rsidRPr="004C6E81">
        <w:rPr>
          <w:sz w:val="20"/>
          <w:szCs w:val="22"/>
        </w:rPr>
        <w:t>Figure 2. Results of Mutational Effect.</w:t>
      </w:r>
    </w:p>
    <w:p w14:paraId="1B22EF60" w14:textId="066FB5EF" w:rsidR="004A66BC" w:rsidRPr="004C6E81" w:rsidRDefault="004C6E81" w:rsidP="004C6E81">
      <w:pPr>
        <w:rPr>
          <w:sz w:val="20"/>
          <w:szCs w:val="22"/>
        </w:rPr>
      </w:pPr>
      <w:r w:rsidRPr="004C6E81">
        <w:rPr>
          <w:sz w:val="20"/>
          <w:szCs w:val="22"/>
        </w:rPr>
        <w:t>This figure presents the destabilizing effects of two different types of mutations: Alanine to Serine (Ala to Ser) in Panel A and Valine to Threonine (Val to Thr) in Panel B. In both panels, red areas represent regions where these specific mutations led to a high degree of destabilization, while the blue areas represent the opposite. The green areas signify the remaining residues of the protein structure that were not subjected to these mutations.</w:t>
      </w:r>
    </w:p>
    <w:p w14:paraId="64A86142" w14:textId="77777777" w:rsidR="004A66BC" w:rsidRDefault="004A66BC" w:rsidP="00F149BF"/>
    <w:p w14:paraId="6AD09323" w14:textId="2645F3D8" w:rsidR="00F149BF" w:rsidRDefault="00F149BF" w:rsidP="00F149BF">
      <w:r>
        <w:t xml:space="preserve">Conformational Variations: </w:t>
      </w:r>
    </w:p>
    <w:p w14:paraId="5EA98ADE" w14:textId="77777777" w:rsidR="00F149BF" w:rsidRDefault="00F149BF" w:rsidP="00F149BF">
      <w:r>
        <w:t>Previous studies have identified three distinct conformations for T4 lysozyme L99A: closed, intermediate, and open. Following up on prior research on its stable and excited states, we used mutations known to enhance the excited state of T4 lysozyme to attempt to stabilize its open conformation. Our results showed an elevation in the status of the open conformation following mutation, suggesting that these targeted mutations can effectively enhance the stability of the protein's open conformation.</w:t>
      </w:r>
    </w:p>
    <w:p w14:paraId="294148E2" w14:textId="77777777" w:rsidR="00F149BF" w:rsidRDefault="00F149BF" w:rsidP="00F149BF"/>
    <w:p w14:paraId="4895BE99" w14:textId="77777777" w:rsidR="00F149BF" w:rsidRDefault="00F149BF" w:rsidP="00F149BF">
      <w:r>
        <w:t>In Silico Docking Experiments: We performed in silico docking experiments on the three mutated proteins, each featuring different pocket sizes. When comparing small molecule ligand docking scores across different pocket sizes, no significant differences were observed. For the largest ligand, significant differences were noted in docking scores between the protein with the smallest pocket and the one with the largest pocket. However, docking scores between the two proteins with smaller pockets were largely similar.</w:t>
      </w:r>
    </w:p>
    <w:p w14:paraId="33BDCBC6" w14:textId="77777777" w:rsidR="00F149BF" w:rsidRDefault="00F149BF" w:rsidP="00F149BF"/>
    <w:p w14:paraId="799271C9" w14:textId="7E9736A7" w:rsidR="00F149BF" w:rsidRDefault="00F149BF" w:rsidP="00F149BF">
      <w:r>
        <w:rPr>
          <w:noProof/>
        </w:rPr>
        <w:lastRenderedPageBreak/>
        <w:drawing>
          <wp:inline distT="0" distB="0" distL="0" distR="0" wp14:anchorId="0A18B2D0" wp14:editId="2DCE7B6C">
            <wp:extent cx="5976620" cy="5733415"/>
            <wp:effectExtent l="0" t="0" r="5080" b="0"/>
            <wp:docPr id="2077172956" name="图片 12"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2956" name="图片 12" descr="QR 代码&#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620" cy="5733415"/>
                    </a:xfrm>
                    <a:prstGeom prst="rect">
                      <a:avLst/>
                    </a:prstGeom>
                  </pic:spPr>
                </pic:pic>
              </a:graphicData>
            </a:graphic>
          </wp:inline>
        </w:drawing>
      </w:r>
    </w:p>
    <w:p w14:paraId="0FCD7B6C" w14:textId="3173BBC7" w:rsidR="00F149BF" w:rsidRPr="00A55D1C" w:rsidRDefault="00F149BF" w:rsidP="00F149BF">
      <w:pPr>
        <w:rPr>
          <w:sz w:val="20"/>
          <w:szCs w:val="20"/>
        </w:rPr>
      </w:pPr>
      <w:r w:rsidRPr="00A55D1C">
        <w:rPr>
          <w:sz w:val="20"/>
          <w:szCs w:val="20"/>
        </w:rPr>
        <w:t xml:space="preserve">Figure </w:t>
      </w:r>
      <w:r w:rsidR="00B41361">
        <w:rPr>
          <w:sz w:val="20"/>
          <w:szCs w:val="20"/>
        </w:rPr>
        <w:t>3</w:t>
      </w:r>
      <w:r w:rsidRPr="00A55D1C">
        <w:rPr>
          <w:sz w:val="20"/>
          <w:szCs w:val="20"/>
        </w:rPr>
        <w:t>. Docking results of 7LOB, 7LOE, and 7LX6</w:t>
      </w:r>
    </w:p>
    <w:p w14:paraId="40261F70" w14:textId="590493F5" w:rsidR="00F149BF" w:rsidRPr="00A55D1C" w:rsidRDefault="00F149BF" w:rsidP="00F149BF">
      <w:pPr>
        <w:rPr>
          <w:sz w:val="20"/>
          <w:szCs w:val="20"/>
        </w:rPr>
      </w:pPr>
      <w:r w:rsidRPr="00A55D1C">
        <w:rPr>
          <w:sz w:val="20"/>
          <w:szCs w:val="20"/>
        </w:rPr>
        <w:t>This figure illustrate the docking results of 7LOB, 7LOE, and 7LX6 to the three selected ligands of these proteins. The docking scores are generated with Chimera autodocking feature.</w:t>
      </w:r>
    </w:p>
    <w:p w14:paraId="77F2FD3D" w14:textId="77777777" w:rsidR="00F149BF" w:rsidRDefault="00F149BF" w:rsidP="00F149BF"/>
    <w:p w14:paraId="3546E4BF" w14:textId="77777777" w:rsidR="00F149BF" w:rsidRDefault="00F149BF" w:rsidP="00F149BF"/>
    <w:p w14:paraId="6475B37A" w14:textId="18AA3547" w:rsidR="00F149BF" w:rsidRDefault="00F149BF" w:rsidP="00F149BF">
      <w:r>
        <w:t xml:space="preserve">7LOB and 7LOE have comparatively smaller pockets, while 7LX6 has the largest pocket. The ligands are the known ligands from the public database of those proteins. The chosen ligands of 7LOB and 7LOE (according to the database) are smaller than that of 7LX6 (Figure </w:t>
      </w:r>
      <w:r w:rsidR="00B41361">
        <w:t>3</w:t>
      </w:r>
      <w:r>
        <w:t>).</w:t>
      </w:r>
      <w:r>
        <w:rPr>
          <w:rFonts w:hint="eastAsia"/>
        </w:rPr>
        <w:t xml:space="preserve"> </w:t>
      </w:r>
      <w:r>
        <w:t xml:space="preserve">The small ligands can successfully be docked to the proteins with small cavities (7LOB and 7LOE). The largest ligand cannot be docked to them. 7LX6 with the largest pocket is the only one that can dock to all the three ligands (Figure </w:t>
      </w:r>
      <w:r w:rsidR="00B41361">
        <w:t>3</w:t>
      </w:r>
      <w:r>
        <w:t xml:space="preserve">). </w:t>
      </w:r>
    </w:p>
    <w:p w14:paraId="12733261" w14:textId="77777777" w:rsidR="00F149BF" w:rsidRDefault="00F149BF" w:rsidP="00F149BF"/>
    <w:p w14:paraId="125FCB54" w14:textId="0FE8042D" w:rsidR="00F149BF" w:rsidRPr="00F149BF" w:rsidRDefault="00F149BF" w:rsidP="00F149BF">
      <w:r>
        <w:t>For proteins with relatively smaller pockets, the docking scores increase hugely as the ligand become larger, while for the protein with the largest pockets, 7LX6, the docking scores do not show this pattern and are generally good. Comparing proteins with different pocket sizes, the docking scores of the small ligands do not show any obvious difference. Although the docking scores of the biggest ligand are significantly different from proteins with smaller pockets and 7LX6, the scores of 7LOB and 7LOE are approximately the same.</w:t>
      </w:r>
    </w:p>
    <w:p w14:paraId="51B7CE24" w14:textId="77777777" w:rsidR="00F149BF" w:rsidRDefault="00F149BF" w:rsidP="00F149BF"/>
    <w:p w14:paraId="133F3CC1" w14:textId="3FEA1621" w:rsidR="00F149BF" w:rsidRDefault="00F149BF" w:rsidP="00F149BF">
      <w:r>
        <w:t>These docking experiments provide insights into the influence of pocket size on ligand binding and indicate that minor variations in pocket size may not significantly impact the protein's ability to interact with small molecules.</w:t>
      </w:r>
    </w:p>
    <w:p w14:paraId="6CF8BB30" w14:textId="77777777" w:rsidR="00E93771" w:rsidRPr="00F149BF" w:rsidRDefault="00E93771" w:rsidP="00E93771">
      <w:pPr>
        <w:spacing w:line="276" w:lineRule="auto"/>
        <w:rPr>
          <w:rFonts w:ascii="Arial" w:hAnsi="Arial" w:cs="Arial"/>
        </w:rPr>
      </w:pPr>
    </w:p>
    <w:p w14:paraId="40FA0F4D" w14:textId="77777777" w:rsidR="00E93771" w:rsidRDefault="00E93771" w:rsidP="00E93771">
      <w:pPr>
        <w:spacing w:line="276" w:lineRule="auto"/>
        <w:rPr>
          <w:rFonts w:ascii="Arial" w:hAnsi="Arial" w:cs="Arial"/>
        </w:rPr>
      </w:pPr>
    </w:p>
    <w:p w14:paraId="36B405C2" w14:textId="74762A70" w:rsidR="00B61013" w:rsidRPr="00B61013" w:rsidRDefault="0031171F" w:rsidP="00B61013">
      <w:pPr>
        <w:spacing w:line="276" w:lineRule="auto"/>
        <w:rPr>
          <w:rFonts w:ascii="Arial" w:hAnsi="Arial" w:cs="Arial"/>
          <w:b/>
          <w:bCs/>
          <w:sz w:val="28"/>
          <w:szCs w:val="36"/>
        </w:rPr>
      </w:pPr>
      <w:r>
        <w:rPr>
          <w:rFonts w:ascii="Arial" w:hAnsi="Arial" w:cs="Arial"/>
          <w:b/>
          <w:bCs/>
          <w:sz w:val="28"/>
          <w:szCs w:val="36"/>
        </w:rPr>
        <w:t>Discussion</w:t>
      </w:r>
    </w:p>
    <w:p w14:paraId="334DA6B0" w14:textId="2B1BBAEC"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computational exploration of L99A T4L protein involved a series of carefully executed steps using a variety of bioinformatics tools. The findings we derived from the alanine scan and subsequent mutation modeling</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{"citationID":"Kmh6fL9A","properties":{"formattedCitation":"(Blaber {\\i{}et al.}, 1993)","plainCitation":"(Blaber et al., 1993)","noteIndex":0},"citationItems":[{"id":206,"uris":["http://zotero.org/users/6918432/items/3IRJGCIU"],"itemData":{"id":206,"type":"article-journal","abstract":"In order to determine the thermodynamic cost of introducing a polar group within the core of a protein, a series of nine Ala -* Ser and 3 Val -* Thr substitutions was constructed in T4 lysozyme. The sites were all within -helices but ranged from fully solvent-exposed to totally buried. The range of destabilization incurred by the Ala -*· Ser substitutions was found to be very similar to that for the Val -» Thr replacements. For the solvent-exposed and partly exposed sites the destabilization was modest (50.5 kcal/mol). For the completely buried sites the destabilization was larger, but variable (~ 1-3 kcal/mol). Crystal structure determinations showed that the Ala -* Ser mutant structures were, in general, very similar to their wild-type counterparts, even though the replacements introduce a hydroxyl group. This is in part because the introduced serines are all within -helices and at congested sites can avoid steric clashes with surrounding atoms by making a hydrogen bond to a backbone carbonyl oxygen in the preceding turn of the helix. The three substituted threonine side chains essentially superimpose on their valine counterparts but display somewhat larger conformational adjustments. The results illustrate how a protein structure will adapt in different ways to avoid the presence of an unsatisfied hydrogen bond donor or acceptor. In the most extreme case, Val 149 — Thr, which is also the most destabilizing variant (AAG = 2.8 kcal/mol), a water molecule is incorporated in the mutant structure in order to provide a hydrogen-bonding partner. The results are consistent with the view that many hydrogen bonds within proteins contribute only marginally to stability but that noncharged polar groups that lack a hydrogen-bonding partner are very destabilizing (AAG £ 3 kcal/mol). Supportive of other studies, the -helix propensity of alanine is seen to be higher than that of serine (AAG = 0.46 ± 0.04 kcal/mol), while threonine and valine are similar in a-helix propensity.","container-title":"Biochemistry","DOI":"10.1021/bi00093a013","ISSN":"0006-2960, 1520-4995","issue":"42","journalAbbreviation":"Biochemistry","language":"en","page":"11363-11373","source":"DOI.org (Crossref)","title":"Energetic cost and structural consequences of burying a hydroxyl group within the core of a protein determined from Ala .fwdarw. Ser and Val .fwdarw. Thr substitutions in T4 lysozyme","volume":"32","author":[{"family":"Blaber","given":"Michael"},{"family":"Lindstrom","given":"Joel D."},{"family":"Gassner","given":"Nadine"},{"family":"Xu","given":"Jian"},{"family":"Heinz","given":"Dirk W."},{"family":"Matthews","given":"Brian W."}],"issued":{"date-parts":[["1993",10,1]]}}}],"schema":"https://github.com/citation-style-language/schema/raw/master/csl-citation.json"} </w:instrText>
      </w:r>
      <w:r w:rsidR="00A12B8C">
        <w:rPr>
          <w:rFonts w:ascii="Arial" w:hAnsi="Arial" w:cs="Arial"/>
          <w:sz w:val="22"/>
          <w:szCs w:val="28"/>
        </w:rPr>
        <w:fldChar w:fldCharType="separate"/>
      </w:r>
      <w:r w:rsidR="00A12B8C" w:rsidRPr="00A12B8C">
        <w:rPr>
          <w:rFonts w:ascii="Arial" w:hAnsi="Arial" w:cs="Arial"/>
          <w:kern w:val="0"/>
          <w:sz w:val="22"/>
        </w:rPr>
        <w:t xml:space="preserve">(Blaber </w:t>
      </w:r>
      <w:r w:rsidR="00A12B8C" w:rsidRPr="00A12B8C">
        <w:rPr>
          <w:rFonts w:ascii="Arial" w:hAnsi="Arial" w:cs="Arial"/>
          <w:i/>
          <w:iCs/>
          <w:kern w:val="0"/>
          <w:sz w:val="22"/>
        </w:rPr>
        <w:t>et al.</w:t>
      </w:r>
      <w:r w:rsidR="00A12B8C" w:rsidRPr="00A12B8C">
        <w:rPr>
          <w:rFonts w:ascii="Arial" w:hAnsi="Arial" w:cs="Arial"/>
          <w:kern w:val="0"/>
          <w:sz w:val="22"/>
        </w:rPr>
        <w:t>, 1993)</w:t>
      </w:r>
      <w:r w:rsidR="00A12B8C">
        <w:rPr>
          <w:rFonts w:ascii="Arial" w:hAnsi="Arial" w:cs="Arial"/>
          <w:sz w:val="22"/>
          <w:szCs w:val="28"/>
        </w:rPr>
        <w:fldChar w:fldCharType="end"/>
      </w:r>
      <w:r w:rsidRPr="00B61013">
        <w:rPr>
          <w:rFonts w:ascii="Arial" w:hAnsi="Arial" w:cs="Arial"/>
          <w:sz w:val="22"/>
          <w:szCs w:val="28"/>
        </w:rPr>
        <w:t>, conformational simulations, and molecular docking shed significant light on our initial hypotheses and research objectives.</w:t>
      </w:r>
    </w:p>
    <w:p w14:paraId="45008527" w14:textId="77777777" w:rsidR="00B61013" w:rsidRPr="00B61013" w:rsidRDefault="00B61013" w:rsidP="00B61013">
      <w:pPr>
        <w:spacing w:line="276" w:lineRule="auto"/>
        <w:rPr>
          <w:rFonts w:ascii="Arial" w:hAnsi="Arial" w:cs="Arial"/>
          <w:sz w:val="22"/>
          <w:szCs w:val="28"/>
        </w:rPr>
      </w:pPr>
    </w:p>
    <w:p w14:paraId="4001137E" w14:textId="2F47E230"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The alanine scan highlighted key amino acid residues that contribute substantially to the stability of the protein. This method, in effect, generated a stability map of the protein which could potentially guide future studies on L99A T4L or other structurally similar proteins. The scan revealed that certain residues, particularly those in close proximity to the binding cavity, play a crucial role in maintaining the protein's stability. A surprising outcome was the identification of peripheral residues that, despite being situated far from the ligand-binding site, nonetheless had considerable influence on protein stability. This underscores the idea that protein function and stability are the products of a collective contribution from its entire amino acid composition, rather than just key residues</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{"citationID":"pEDUamVY","properties":{"formattedCitation":"(Wang, Papaleo and Lindorff-Larsen, 2016)","plainCitation":"(Wang, Papaleo and Lindorff-Larsen, 2016)","noteIndex":0},"citationItems":[{"id":203,"uris":["http://zotero.org/users/6918432/items/GDK23I68"],"itemData":{"id":203,"type":"article-journal","abstract":"Determining the structures, kinetics, thermodynamics and mechanisms that underlie conformational exchange processes in proteins remains extremely difficult. Only in favourable cases is it possible to provide atomic-level descriptions of sparsely populated and transiently formed alternative conformations. Here we benchmark the ability of enhanced-sampling molecular dynamics simulations to determine the free energy landscape of the L99A cavity mutant of T4 lysozyme. We find that the simulations capture key properties previously measured by NMR relaxation dispersion methods including the structure of a minor conformation, the kinetics and thermodynamics of conformational exchange, and the effect of mutations. We discover a new tunnel that involves the transient exposure towards the solvent of an internal cavity, and show it to be relevant for ligand escape. Together, our results provide a comprehensive view of the structural landscape of a protein, and point forward to studies of conformational exchange in systems that are less characterized experimentally.","container-title":"eLife","DOI":"10.7554/eLife.17505","ISSN":"2050-084X","note":"publisher: eLife Sciences Publications, Ltd","page":"e17505","source":"eLife","title":"Mapping transiently formed and sparsely populated conformations on a complex energy landscape","volume":"5","author":[{"family":"Wang","given":"Yong"},{"family":"Papaleo","given":"Elena"},{"family":"Lindorff-Larsen","given":"Kresten"}],"editor":[{"family":"Shan","given":"Yibing"}],"issued":{"date-parts":[["2016",8,23]]}}}],"schema":"https://github.com/citation-style-language/schema/raw/master/csl-citation.json"} </w:instrText>
      </w:r>
      <w:r w:rsidR="00A12B8C">
        <w:rPr>
          <w:rFonts w:ascii="Arial" w:hAnsi="Arial" w:cs="Arial"/>
          <w:sz w:val="22"/>
          <w:szCs w:val="28"/>
        </w:rPr>
        <w:fldChar w:fldCharType="separate"/>
      </w:r>
      <w:r w:rsidR="00A12B8C">
        <w:rPr>
          <w:rFonts w:ascii="Arial" w:hAnsi="Arial" w:cs="Arial"/>
          <w:noProof/>
          <w:sz w:val="22"/>
          <w:szCs w:val="28"/>
        </w:rPr>
        <w:t>(Wang, Papaleo and Lindorff-Larsen, 2016)</w:t>
      </w:r>
      <w:r w:rsidR="00A12B8C">
        <w:rPr>
          <w:rFonts w:ascii="Arial" w:hAnsi="Arial" w:cs="Arial"/>
          <w:sz w:val="22"/>
          <w:szCs w:val="28"/>
        </w:rPr>
        <w:fldChar w:fldCharType="end"/>
      </w:r>
      <w:r w:rsidRPr="00B61013">
        <w:rPr>
          <w:rFonts w:ascii="Arial" w:hAnsi="Arial" w:cs="Arial"/>
          <w:sz w:val="22"/>
          <w:szCs w:val="28"/>
        </w:rPr>
        <w:t>.</w:t>
      </w:r>
    </w:p>
    <w:p w14:paraId="045598F3" w14:textId="77777777" w:rsidR="00B61013" w:rsidRPr="00B61013" w:rsidRDefault="00B61013" w:rsidP="00B61013">
      <w:pPr>
        <w:spacing w:line="276" w:lineRule="auto"/>
        <w:rPr>
          <w:rFonts w:ascii="Arial" w:hAnsi="Arial" w:cs="Arial"/>
          <w:sz w:val="22"/>
          <w:szCs w:val="28"/>
        </w:rPr>
      </w:pPr>
    </w:p>
    <w:p w14:paraId="62D96363" w14:textId="696DD74B"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mutation modeling further emphasized the sensitivity of the L99A T4L protein to changes in its amino acid composition. Introducing mutations at various positions on the protein structure led to alterations in the protein stability, some of which were significant. Notably, mutations G113A and R119P, as hypothesized</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{"citationID":"hAYpIbJh","properties":{"formattedCitation":"(Liu, Baase and Matthews, 2009)","plainCitation":"(Liu, Baase and Matthews, 2009)","noteIndex":0},"citationItems":[{"id":207,"uris":["http://zotero.org/users/6918432/items/GY8QAHTE"],"itemData":{"id":207,"type":"article-journal","container-title":"Journal of Molecular Biology","DOI":"10.1016/j.jmb.2008.10.086","ISSN":"00222836","issue":"2","journalAbbreviation":"Journal of Molecular Biology","language":"en","page":"595-605","source":"DOI.org (Crossref)","title":"Halogenated Benzenes Bound within a Non-polar Cavity in T4 Lysozyme Provide Examples of I</w:instrText>
      </w:r>
      <w:r w:rsidR="00A12B8C">
        <w:rPr>
          <w:rFonts w:ascii="Cambria Math" w:hAnsi="Cambria Math" w:cs="Cambria Math"/>
          <w:sz w:val="22"/>
          <w:szCs w:val="28"/>
        </w:rPr>
        <w:instrText>⋯</w:instrText>
      </w:r>
      <w:r w:rsidR="00A12B8C">
        <w:rPr>
          <w:rFonts w:ascii="Arial" w:hAnsi="Arial" w:cs="Arial"/>
          <w:sz w:val="22"/>
          <w:szCs w:val="28"/>
        </w:rPr>
        <w:instrText>S and I</w:instrText>
      </w:r>
      <w:r w:rsidR="00A12B8C">
        <w:rPr>
          <w:rFonts w:ascii="Cambria Math" w:hAnsi="Cambria Math" w:cs="Cambria Math"/>
          <w:sz w:val="22"/>
          <w:szCs w:val="28"/>
        </w:rPr>
        <w:instrText>⋯</w:instrText>
      </w:r>
      <w:r w:rsidR="00A12B8C">
        <w:rPr>
          <w:rFonts w:ascii="Arial" w:hAnsi="Arial" w:cs="Arial"/>
          <w:sz w:val="22"/>
          <w:szCs w:val="28"/>
        </w:rPr>
        <w:instrText xml:space="preserve">Se Halogen-bonding","volume":"385","author":[{"family":"Liu","given":"Lijun"},{"family":"Baase","given":"Walter A."},{"family":"Matthews","given":"Brian W."}],"issued":{"date-parts":[["2009",1]]}}}],"schema":"https://github.com/citation-style-language/schema/raw/master/csl-citation.json"} </w:instrText>
      </w:r>
      <w:r w:rsidR="00A12B8C">
        <w:rPr>
          <w:rFonts w:ascii="Arial" w:hAnsi="Arial" w:cs="Arial"/>
          <w:sz w:val="22"/>
          <w:szCs w:val="28"/>
        </w:rPr>
        <w:fldChar w:fldCharType="separate"/>
      </w:r>
      <w:r w:rsidR="00A12B8C">
        <w:rPr>
          <w:rFonts w:ascii="Arial" w:hAnsi="Arial" w:cs="Arial"/>
          <w:noProof/>
          <w:sz w:val="22"/>
          <w:szCs w:val="28"/>
        </w:rPr>
        <w:t>(Liu, Baase and Matthews, 2009)</w:t>
      </w:r>
      <w:r w:rsidR="00A12B8C">
        <w:rPr>
          <w:rFonts w:ascii="Arial" w:hAnsi="Arial" w:cs="Arial"/>
          <w:sz w:val="22"/>
          <w:szCs w:val="28"/>
        </w:rPr>
        <w:fldChar w:fldCharType="end"/>
      </w:r>
      <w:r w:rsidRPr="00B61013">
        <w:rPr>
          <w:rFonts w:ascii="Arial" w:hAnsi="Arial" w:cs="Arial"/>
          <w:sz w:val="22"/>
          <w:szCs w:val="28"/>
        </w:rPr>
        <w:t>, induced noticeable changes in protein conformation and stability, signifying that these residues may serve as hotspots for protein flexibility and conformational changes.</w:t>
      </w:r>
    </w:p>
    <w:p w14:paraId="48C6C73F" w14:textId="77777777" w:rsidR="00B61013" w:rsidRPr="00B61013" w:rsidRDefault="00B61013" w:rsidP="00B61013">
      <w:pPr>
        <w:spacing w:line="276" w:lineRule="auto"/>
        <w:rPr>
          <w:rFonts w:ascii="Arial" w:hAnsi="Arial" w:cs="Arial"/>
          <w:sz w:val="22"/>
          <w:szCs w:val="28"/>
        </w:rPr>
      </w:pPr>
    </w:p>
    <w:p w14:paraId="0CD6A683" w14:textId="77777777"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Regarding conformational simulations, we observed that L99A T4L could adopt distinct conformations in response to different mutations, providing evidence that the protein's flexibility might be a critical factor in accommodating various ligands. Intriguingly, the results suggested that even relatively small mutations can cause significant changes in the protein's structural dynamics.</w:t>
      </w:r>
    </w:p>
    <w:p w14:paraId="21BEB546" w14:textId="77777777" w:rsidR="00B61013" w:rsidRPr="00B61013" w:rsidRDefault="00B61013" w:rsidP="00B61013">
      <w:pPr>
        <w:spacing w:line="276" w:lineRule="auto"/>
        <w:rPr>
          <w:rFonts w:ascii="Arial" w:hAnsi="Arial" w:cs="Arial"/>
          <w:sz w:val="22"/>
          <w:szCs w:val="28"/>
        </w:rPr>
      </w:pPr>
    </w:p>
    <w:p w14:paraId="2C3D156C" w14:textId="05B6BE20" w:rsidR="00B61013" w:rsidRPr="00B61013" w:rsidRDefault="00B61013" w:rsidP="00B61013">
      <w:pPr>
        <w:spacing w:line="276" w:lineRule="auto"/>
        <w:rPr>
          <w:rFonts w:ascii="Arial" w:hAnsi="Arial" w:cs="Arial"/>
          <w:sz w:val="22"/>
          <w:szCs w:val="28"/>
        </w:rPr>
      </w:pPr>
      <w:r w:rsidRPr="00B61013">
        <w:rPr>
          <w:rFonts w:ascii="Arial" w:hAnsi="Arial" w:cs="Arial"/>
          <w:sz w:val="22"/>
          <w:szCs w:val="28"/>
        </w:rPr>
        <w:t>Our docking experiments further substantiated the importance of protein conformation. We found that ligand binding was indeed influenced by the protein's structural state</w:t>
      </w:r>
      <w:r w:rsidR="00A12B8C">
        <w:rPr>
          <w:rFonts w:ascii="Arial" w:hAnsi="Arial" w:cs="Arial"/>
          <w:sz w:val="22"/>
          <w:szCs w:val="28"/>
        </w:rPr>
        <w:t xml:space="preserve"> </w:t>
      </w:r>
      <w:r w:rsidR="00A12B8C">
        <w:rPr>
          <w:rFonts w:ascii="Arial" w:hAnsi="Arial" w:cs="Arial"/>
          <w:sz w:val="22"/>
          <w:szCs w:val="28"/>
        </w:rPr>
        <w:fldChar w:fldCharType="begin"/>
      </w:r>
      <w:r w:rsidR="00A12B8C">
        <w:rPr>
          <w:rFonts w:ascii="Arial" w:hAnsi="Arial" w:cs="Arial"/>
          <w:sz w:val="22"/>
          <w:szCs w:val="28"/>
        </w:rPr>
        <w:instrText xml:space="preserve"> ADDIN ZOTERO_ITEM CSL_CITATION {"citationID":"MDoP3ddy","properties":{"formattedCitation":"(Eberhardt {\\i{}et al.}, 2021)","plainCitation":"(Eberhardt et al., 2021)","noteIndex":0},"citationItems":[{"id":243,"uris":["http://zotero.org/users/6918432/items/U5R233WF"],"itemData":{"id":243,"type":"article-journal","abstract":"AutoDock Vina is arguably one of the fastest and most widely used open-source programs for molecular docking. However, compared to other programs in the AutoDock Suite, it lacks support for modeling specific features such as macrocycles or explicit water molecules. Here, we describe the implementation of this functionality in AutoDock Vina 1.2.0. Additionally, AutoDock Vina 1.2.0 supports the AutoDock4.2 scoring function, simultaneous docking of multiple ligands, and a batch mode for docking a large number of ligands. Furthermore, we implemented Python bindings to facilitate scripting and the development of docking workflows. This work is an effort toward the unification of the features of the AutoDock4 and AutoDock Vina programs. The source code is available at https://github.com/ccsb-scripps/AutoDock-Vina.","container-title":"Journal of Chemical Information and Modeling","DOI":"10.1021/acs.jcim.1c00203","ISSN":"1549-9596","issue":"8","journalAbbreviation":"J. Chem. Inf. Model.","note":"publisher: American Chemical Society","page":"3891-3898","source":"ACS Publications","title":"AutoDock Vina 1.2.0: New Docking Methods, Expanded Force Field, and Python Bindings","title-short":"AutoDock Vina 1.2.0","volume":"61","author":[{"family":"Eberhardt","given":"Jerome"},{"family":"Santos-Martins","given":"Diogo"},{"family":"Tillack","given":"Andreas F."},{"family":"Forli","given":"Stefano"}],"issued":{"date-parts":[["2021",8,23]]}}}],"schema":"https://github.com/citation-style-language/schema/raw/master/csl-citation.json"} </w:instrText>
      </w:r>
      <w:r w:rsidR="00A12B8C">
        <w:rPr>
          <w:rFonts w:ascii="Arial" w:hAnsi="Arial" w:cs="Arial"/>
          <w:sz w:val="22"/>
          <w:szCs w:val="28"/>
        </w:rPr>
        <w:fldChar w:fldCharType="separate"/>
      </w:r>
      <w:r w:rsidR="00A12B8C" w:rsidRPr="00A12B8C">
        <w:rPr>
          <w:rFonts w:ascii="Arial" w:hAnsi="Arial" w:cs="Arial"/>
          <w:kern w:val="0"/>
          <w:sz w:val="22"/>
        </w:rPr>
        <w:t xml:space="preserve">(Eberhardt </w:t>
      </w:r>
      <w:r w:rsidR="00A12B8C" w:rsidRPr="00A12B8C">
        <w:rPr>
          <w:rFonts w:ascii="Arial" w:hAnsi="Arial" w:cs="Arial"/>
          <w:i/>
          <w:iCs/>
          <w:kern w:val="0"/>
          <w:sz w:val="22"/>
        </w:rPr>
        <w:t>et al.</w:t>
      </w:r>
      <w:r w:rsidR="00A12B8C" w:rsidRPr="00A12B8C">
        <w:rPr>
          <w:rFonts w:ascii="Arial" w:hAnsi="Arial" w:cs="Arial"/>
          <w:kern w:val="0"/>
          <w:sz w:val="22"/>
        </w:rPr>
        <w:t>, 2021)</w:t>
      </w:r>
      <w:r w:rsidR="00A12B8C">
        <w:rPr>
          <w:rFonts w:ascii="Arial" w:hAnsi="Arial" w:cs="Arial"/>
          <w:sz w:val="22"/>
          <w:szCs w:val="28"/>
        </w:rPr>
        <w:fldChar w:fldCharType="end"/>
      </w:r>
      <w:r w:rsidRPr="00B61013">
        <w:rPr>
          <w:rFonts w:ascii="Arial" w:hAnsi="Arial" w:cs="Arial"/>
          <w:sz w:val="22"/>
          <w:szCs w:val="28"/>
        </w:rPr>
        <w:t>, with the same ligand having different binding affinities for distinct conformations. This finding illustrates the complexity of protein-ligand interactions and the need for accurate predictive models that take protein flexibility into account.</w:t>
      </w:r>
    </w:p>
    <w:p w14:paraId="3E6BA5A7" w14:textId="77777777" w:rsidR="00B61013" w:rsidRPr="00B61013" w:rsidRDefault="00B61013" w:rsidP="00B61013">
      <w:pPr>
        <w:spacing w:line="276" w:lineRule="auto"/>
        <w:rPr>
          <w:rFonts w:ascii="Arial" w:hAnsi="Arial" w:cs="Arial"/>
          <w:sz w:val="22"/>
          <w:szCs w:val="28"/>
        </w:rPr>
      </w:pPr>
    </w:p>
    <w:p w14:paraId="36AA4A80" w14:textId="42BED434" w:rsidR="0031171F" w:rsidRDefault="00B61013" w:rsidP="00B61013">
      <w:pPr>
        <w:spacing w:line="276" w:lineRule="auto"/>
        <w:rPr>
          <w:rFonts w:ascii="Arial" w:hAnsi="Arial" w:cs="Arial"/>
          <w:sz w:val="22"/>
          <w:szCs w:val="28"/>
        </w:rPr>
      </w:pPr>
      <w:r w:rsidRPr="00B61013">
        <w:rPr>
          <w:rFonts w:ascii="Arial" w:hAnsi="Arial" w:cs="Arial"/>
          <w:sz w:val="22"/>
          <w:szCs w:val="28"/>
        </w:rPr>
        <w:t>In conclusion, our study affirms the intricacies of protein behavior in response to mutations and the complexity of protein-ligand interactions. Our results suggest that understanding protein dynamics at the molecular level requires careful consideration of all aspects of the protein, from individual amino acids to overall conformational states. The findings of this study could contribute to the advancement of computational tools for predicting protein-ligand interactions and stability changes upon mutation, thereby aiding in the progress of drug discovery and design. However, more work remains to be done, with further studies required to validate these findings in an experimental setting and explore the potential implications for biological systems.</w:t>
      </w:r>
    </w:p>
    <w:p w14:paraId="3AA17995" w14:textId="77777777" w:rsidR="00B61013" w:rsidRPr="00B61013" w:rsidRDefault="00B61013" w:rsidP="00B61013">
      <w:pPr>
        <w:spacing w:line="276" w:lineRule="auto"/>
        <w:rPr>
          <w:rFonts w:ascii="Arial" w:hAnsi="Arial" w:cs="Arial"/>
          <w:sz w:val="22"/>
          <w:szCs w:val="28"/>
        </w:rPr>
      </w:pPr>
    </w:p>
    <w:p w14:paraId="10E6E16B" w14:textId="7C6BBD31" w:rsidR="0031171F" w:rsidRPr="00E93771" w:rsidRDefault="0031171F" w:rsidP="00E93771">
      <w:pPr>
        <w:spacing w:line="276" w:lineRule="auto"/>
        <w:rPr>
          <w:rFonts w:ascii="Arial" w:hAnsi="Arial" w:cs="Arial"/>
          <w:b/>
          <w:bCs/>
          <w:sz w:val="28"/>
          <w:szCs w:val="36"/>
        </w:rPr>
      </w:pPr>
      <w:r>
        <w:rPr>
          <w:rFonts w:ascii="Arial" w:hAnsi="Arial" w:cs="Arial" w:hint="eastAsia"/>
          <w:b/>
          <w:bCs/>
          <w:sz w:val="28"/>
          <w:szCs w:val="36"/>
        </w:rPr>
        <w:t>R</w:t>
      </w:r>
      <w:r>
        <w:rPr>
          <w:rFonts w:ascii="Arial" w:hAnsi="Arial" w:cs="Arial"/>
          <w:b/>
          <w:bCs/>
          <w:sz w:val="28"/>
          <w:szCs w:val="36"/>
        </w:rPr>
        <w:t>eference</w:t>
      </w:r>
    </w:p>
    <w:p w14:paraId="0B40B5CD" w14:textId="77777777" w:rsidR="00EA648C" w:rsidRPr="00EA648C" w:rsidRDefault="00435958" w:rsidP="00EA648C">
      <w:pPr>
        <w:autoSpaceDE w:val="0"/>
        <w:autoSpaceDN w:val="0"/>
        <w:adjustRightInd w:val="0"/>
        <w:jc w:val="left"/>
        <w:rPr>
          <w:rFonts w:ascii="Arial" w:hAnsi="Arial" w:cs="Arial"/>
          <w:kern w:val="0"/>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EA648C" w:rsidRPr="00EA648C">
        <w:rPr>
          <w:rFonts w:ascii="Arial" w:hAnsi="Arial" w:cs="Arial"/>
          <w:kern w:val="0"/>
        </w:rPr>
        <w:t xml:space="preserve">Blaber, M. </w:t>
      </w:r>
      <w:r w:rsidR="00EA648C" w:rsidRPr="00EA648C">
        <w:rPr>
          <w:rFonts w:ascii="Arial" w:hAnsi="Arial" w:cs="Arial"/>
          <w:i/>
          <w:iCs/>
          <w:kern w:val="0"/>
        </w:rPr>
        <w:t>et al.</w:t>
      </w:r>
      <w:r w:rsidR="00EA648C" w:rsidRPr="00EA648C">
        <w:rPr>
          <w:rFonts w:ascii="Arial" w:hAnsi="Arial" w:cs="Arial"/>
          <w:kern w:val="0"/>
        </w:rPr>
        <w:t xml:space="preserve"> (1993) ‘Energetic cost and structural consequences of burying a hydroxyl group within the core of a protein determined from Ala .fwdarw. Ser and Val .fwdarw. Thr substitutions in T4 lysozyme’, </w:t>
      </w:r>
      <w:r w:rsidR="00EA648C" w:rsidRPr="00EA648C">
        <w:rPr>
          <w:rFonts w:ascii="Arial" w:hAnsi="Arial" w:cs="Arial"/>
          <w:i/>
          <w:iCs/>
          <w:kern w:val="0"/>
        </w:rPr>
        <w:t>Biochemistry</w:t>
      </w:r>
      <w:r w:rsidR="00EA648C" w:rsidRPr="00EA648C">
        <w:rPr>
          <w:rFonts w:ascii="Arial" w:hAnsi="Arial" w:cs="Arial"/>
          <w:kern w:val="0"/>
        </w:rPr>
        <w:t>, 32(42), pp. 11363–11373. Available at: https://doi.org/10.1021/bi00093a013.</w:t>
      </w:r>
    </w:p>
    <w:p w14:paraId="4C8B2FF2" w14:textId="77777777" w:rsidR="00EA648C" w:rsidRPr="00EA648C" w:rsidRDefault="00EA648C" w:rsidP="00EA648C">
      <w:pPr>
        <w:autoSpaceDE w:val="0"/>
        <w:autoSpaceDN w:val="0"/>
        <w:adjustRightInd w:val="0"/>
        <w:jc w:val="left"/>
        <w:rPr>
          <w:rFonts w:ascii="Arial" w:hAnsi="Arial" w:cs="Arial"/>
          <w:kern w:val="0"/>
        </w:rPr>
      </w:pPr>
      <w:r w:rsidRPr="00EA648C">
        <w:rPr>
          <w:rFonts w:ascii="Arial" w:hAnsi="Arial" w:cs="Arial"/>
          <w:kern w:val="0"/>
        </w:rPr>
        <w:t xml:space="preserve">Bouvignies, G. </w:t>
      </w:r>
      <w:r w:rsidRPr="00EA648C">
        <w:rPr>
          <w:rFonts w:ascii="Arial" w:hAnsi="Arial" w:cs="Arial"/>
          <w:i/>
          <w:iCs/>
          <w:kern w:val="0"/>
        </w:rPr>
        <w:t>et al.</w:t>
      </w:r>
      <w:r w:rsidRPr="00EA648C">
        <w:rPr>
          <w:rFonts w:ascii="Arial" w:hAnsi="Arial" w:cs="Arial"/>
          <w:kern w:val="0"/>
        </w:rPr>
        <w:t xml:space="preserve"> (2011) ‘Solution structure of a minor and transiently formed state of a T4 lysozyme mutant’, </w:t>
      </w:r>
      <w:r w:rsidRPr="00EA648C">
        <w:rPr>
          <w:rFonts w:ascii="Arial" w:hAnsi="Arial" w:cs="Arial"/>
          <w:i/>
          <w:iCs/>
          <w:kern w:val="0"/>
        </w:rPr>
        <w:t>Nature</w:t>
      </w:r>
      <w:r w:rsidRPr="00EA648C">
        <w:rPr>
          <w:rFonts w:ascii="Arial" w:hAnsi="Arial" w:cs="Arial"/>
          <w:kern w:val="0"/>
        </w:rPr>
        <w:t>, 477(7362), pp. 111–114. Available at: https://doi.org/10.1038/nature10349.</w:t>
      </w:r>
    </w:p>
    <w:p w14:paraId="12BB32C7" w14:textId="77777777" w:rsidR="00EA648C" w:rsidRPr="00EA648C" w:rsidRDefault="00EA648C" w:rsidP="00EA648C">
      <w:pPr>
        <w:autoSpaceDE w:val="0"/>
        <w:autoSpaceDN w:val="0"/>
        <w:adjustRightInd w:val="0"/>
        <w:jc w:val="left"/>
        <w:rPr>
          <w:rFonts w:ascii="Arial" w:hAnsi="Arial" w:cs="Arial"/>
          <w:kern w:val="0"/>
        </w:rPr>
      </w:pPr>
      <w:r w:rsidRPr="00EA648C">
        <w:rPr>
          <w:rFonts w:ascii="Arial" w:hAnsi="Arial" w:cs="Arial"/>
          <w:kern w:val="0"/>
        </w:rPr>
        <w:t xml:space="preserve">Eberhardt, J. </w:t>
      </w:r>
      <w:r w:rsidRPr="00EA648C">
        <w:rPr>
          <w:rFonts w:ascii="Arial" w:hAnsi="Arial" w:cs="Arial"/>
          <w:i/>
          <w:iCs/>
          <w:kern w:val="0"/>
        </w:rPr>
        <w:t>et al.</w:t>
      </w:r>
      <w:r w:rsidRPr="00EA648C">
        <w:rPr>
          <w:rFonts w:ascii="Arial" w:hAnsi="Arial" w:cs="Arial"/>
          <w:kern w:val="0"/>
        </w:rPr>
        <w:t xml:space="preserve"> (2021) ‘AutoDock Vina 1.2.0: New Docking Methods, Expanded Force Field, and Python Bindings’, </w:t>
      </w:r>
      <w:r w:rsidRPr="00EA648C">
        <w:rPr>
          <w:rFonts w:ascii="Arial" w:hAnsi="Arial" w:cs="Arial"/>
          <w:i/>
          <w:iCs/>
          <w:kern w:val="0"/>
        </w:rPr>
        <w:t>Journal of Chemical Information and Modeling</w:t>
      </w:r>
      <w:r w:rsidRPr="00EA648C">
        <w:rPr>
          <w:rFonts w:ascii="Arial" w:hAnsi="Arial" w:cs="Arial"/>
          <w:kern w:val="0"/>
        </w:rPr>
        <w:t>, 61(8), pp. 3891–3898. Available at: https://doi.org/10.1021/acs.jcim.1c00203.</w:t>
      </w:r>
    </w:p>
    <w:p w14:paraId="3297CA4B" w14:textId="77777777" w:rsidR="00EA648C" w:rsidRPr="00EA648C" w:rsidRDefault="00EA648C" w:rsidP="00EA648C">
      <w:pPr>
        <w:autoSpaceDE w:val="0"/>
        <w:autoSpaceDN w:val="0"/>
        <w:adjustRightInd w:val="0"/>
        <w:jc w:val="left"/>
        <w:rPr>
          <w:rFonts w:ascii="Arial" w:hAnsi="Arial" w:cs="Arial"/>
          <w:kern w:val="0"/>
        </w:rPr>
      </w:pPr>
      <w:r w:rsidRPr="00EA648C">
        <w:rPr>
          <w:rFonts w:ascii="Arial" w:hAnsi="Arial" w:cs="Arial"/>
          <w:kern w:val="0"/>
        </w:rPr>
        <w:t xml:space="preserve">Kamenik, A.S. </w:t>
      </w:r>
      <w:r w:rsidRPr="00EA648C">
        <w:rPr>
          <w:rFonts w:ascii="Arial" w:hAnsi="Arial" w:cs="Arial"/>
          <w:i/>
          <w:iCs/>
          <w:kern w:val="0"/>
        </w:rPr>
        <w:t>et al.</w:t>
      </w:r>
      <w:r w:rsidRPr="00EA648C">
        <w:rPr>
          <w:rFonts w:ascii="Arial" w:hAnsi="Arial" w:cs="Arial"/>
          <w:kern w:val="0"/>
        </w:rPr>
        <w:t xml:space="preserve"> (2021) ‘Energy penalties enhance flexible receptor docking in a model cavity’, </w:t>
      </w:r>
      <w:r w:rsidRPr="00EA648C">
        <w:rPr>
          <w:rFonts w:ascii="Arial" w:hAnsi="Arial" w:cs="Arial"/>
          <w:i/>
          <w:iCs/>
          <w:kern w:val="0"/>
        </w:rPr>
        <w:t>Proceedings of the National Academy of Sciences</w:t>
      </w:r>
      <w:r w:rsidRPr="00EA648C">
        <w:rPr>
          <w:rFonts w:ascii="Arial" w:hAnsi="Arial" w:cs="Arial"/>
          <w:kern w:val="0"/>
        </w:rPr>
        <w:t>, 118(36), p. e2106195118. Available at: https://doi.org/10.1073/pnas.2106195118.</w:t>
      </w:r>
    </w:p>
    <w:p w14:paraId="04387C76" w14:textId="77777777" w:rsidR="00EA648C" w:rsidRPr="00EA648C" w:rsidRDefault="00EA648C" w:rsidP="00EA648C">
      <w:pPr>
        <w:autoSpaceDE w:val="0"/>
        <w:autoSpaceDN w:val="0"/>
        <w:adjustRightInd w:val="0"/>
        <w:jc w:val="left"/>
        <w:rPr>
          <w:rFonts w:ascii="Arial" w:hAnsi="Arial" w:cs="Arial"/>
          <w:kern w:val="0"/>
        </w:rPr>
      </w:pPr>
      <w:r w:rsidRPr="00EA648C">
        <w:rPr>
          <w:rFonts w:ascii="Arial" w:hAnsi="Arial" w:cs="Arial"/>
          <w:kern w:val="0"/>
        </w:rPr>
        <w:t xml:space="preserve">Liu, L., Baase, W.A. and Matthews, B.W. (2009) ‘Halogenated Benzenes Bound within a Non-polar Cavity in T4 Lysozyme Provide Examples of I⋯S and I⋯Se Halogen-bonding’, </w:t>
      </w:r>
      <w:r w:rsidRPr="00EA648C">
        <w:rPr>
          <w:rFonts w:ascii="Arial" w:hAnsi="Arial" w:cs="Arial"/>
          <w:i/>
          <w:iCs/>
          <w:kern w:val="0"/>
        </w:rPr>
        <w:t>Journal of Molecular Biology</w:t>
      </w:r>
      <w:r w:rsidRPr="00EA648C">
        <w:rPr>
          <w:rFonts w:ascii="Arial" w:hAnsi="Arial" w:cs="Arial"/>
          <w:kern w:val="0"/>
        </w:rPr>
        <w:t>, 385(2), pp. 595–605. Available at: https://doi.org/10.1016/j.jmb.2008.10.086.</w:t>
      </w:r>
    </w:p>
    <w:p w14:paraId="060B6CD9" w14:textId="77777777" w:rsidR="00EA648C" w:rsidRPr="00EA648C" w:rsidRDefault="00EA648C" w:rsidP="00EA648C">
      <w:pPr>
        <w:autoSpaceDE w:val="0"/>
        <w:autoSpaceDN w:val="0"/>
        <w:adjustRightInd w:val="0"/>
        <w:jc w:val="left"/>
        <w:rPr>
          <w:rFonts w:ascii="Arial" w:hAnsi="Arial" w:cs="Arial"/>
          <w:kern w:val="0"/>
        </w:rPr>
      </w:pPr>
      <w:r w:rsidRPr="00EA648C">
        <w:rPr>
          <w:rFonts w:ascii="Arial" w:hAnsi="Arial" w:cs="Arial"/>
          <w:kern w:val="0"/>
        </w:rPr>
        <w:t xml:space="preserve">Wang, Y., Papaleo, E. and Lindorff-Larsen, K. (2016) ‘Mapping transiently formed and sparsely populated conformations on a complex energy landscape’, </w:t>
      </w:r>
      <w:r w:rsidRPr="00EA648C">
        <w:rPr>
          <w:rFonts w:ascii="Arial" w:hAnsi="Arial" w:cs="Arial"/>
          <w:i/>
          <w:iCs/>
          <w:kern w:val="0"/>
        </w:rPr>
        <w:t>eLife</w:t>
      </w:r>
      <w:r w:rsidRPr="00EA648C">
        <w:rPr>
          <w:rFonts w:ascii="Arial" w:hAnsi="Arial" w:cs="Arial"/>
          <w:kern w:val="0"/>
        </w:rPr>
        <w:t>. Edited by Y. Shan, 5, p. e17505. Available at: https://doi.org/10.7554/eLife.17505.</w:t>
      </w:r>
    </w:p>
    <w:p w14:paraId="5FE56143" w14:textId="5B80D91B" w:rsidR="005B37F2" w:rsidRDefault="00435958" w:rsidP="00091010">
      <w:pPr>
        <w:spacing w:line="276" w:lineRule="auto"/>
        <w:rPr>
          <w:rFonts w:ascii="Arial" w:hAnsi="Arial" w:cs="Arial"/>
        </w:rPr>
      </w:pPr>
      <w:r>
        <w:rPr>
          <w:rFonts w:ascii="Arial" w:hAnsi="Arial" w:cs="Arial"/>
        </w:rPr>
        <w:fldChar w:fldCharType="end"/>
      </w:r>
    </w:p>
    <w:p w14:paraId="589565FE" w14:textId="12C336F9" w:rsidR="0050476B" w:rsidRPr="005B37F2" w:rsidRDefault="0050476B" w:rsidP="00A57310">
      <w:pPr>
        <w:spacing w:line="276" w:lineRule="auto"/>
        <w:rPr>
          <w:rFonts w:ascii="Arial" w:hAnsi="Arial" w:cs="Arial"/>
        </w:rPr>
      </w:pPr>
    </w:p>
    <w:sectPr w:rsidR="0050476B" w:rsidRPr="005B37F2" w:rsidSect="00277967">
      <w:pgSz w:w="11906" w:h="16838"/>
      <w:pgMar w:top="1247" w:right="1247" w:bottom="1247" w:left="124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53"/>
    <w:rsid w:val="0007139A"/>
    <w:rsid w:val="00072476"/>
    <w:rsid w:val="00091010"/>
    <w:rsid w:val="000B3F47"/>
    <w:rsid w:val="000F7785"/>
    <w:rsid w:val="001C13E3"/>
    <w:rsid w:val="00277967"/>
    <w:rsid w:val="00293507"/>
    <w:rsid w:val="002B2803"/>
    <w:rsid w:val="0031171F"/>
    <w:rsid w:val="00327964"/>
    <w:rsid w:val="003F54A2"/>
    <w:rsid w:val="00417C5F"/>
    <w:rsid w:val="00435958"/>
    <w:rsid w:val="00437598"/>
    <w:rsid w:val="004A66BC"/>
    <w:rsid w:val="004C6E81"/>
    <w:rsid w:val="0050476B"/>
    <w:rsid w:val="00523F63"/>
    <w:rsid w:val="005B37F2"/>
    <w:rsid w:val="006102B8"/>
    <w:rsid w:val="007355F5"/>
    <w:rsid w:val="0083429A"/>
    <w:rsid w:val="009926E7"/>
    <w:rsid w:val="00A12B8C"/>
    <w:rsid w:val="00A146AC"/>
    <w:rsid w:val="00A55D1C"/>
    <w:rsid w:val="00A57310"/>
    <w:rsid w:val="00AB4AF7"/>
    <w:rsid w:val="00B41361"/>
    <w:rsid w:val="00B61013"/>
    <w:rsid w:val="00BD676A"/>
    <w:rsid w:val="00C3274F"/>
    <w:rsid w:val="00CB65AB"/>
    <w:rsid w:val="00CE6570"/>
    <w:rsid w:val="00DD1F53"/>
    <w:rsid w:val="00E211E2"/>
    <w:rsid w:val="00E93771"/>
    <w:rsid w:val="00EA648C"/>
    <w:rsid w:val="00EF5373"/>
    <w:rsid w:val="00F149BF"/>
    <w:rsid w:val="00F83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D2F2"/>
  <w15:chartTrackingRefBased/>
  <w15:docId w15:val="{B37C5F3C-8F3C-374D-A241-D7A658342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书目1"/>
    <w:basedOn w:val="a"/>
    <w:link w:val="Bibliography"/>
    <w:rsid w:val="00A57310"/>
    <w:pPr>
      <w:spacing w:after="240"/>
    </w:pPr>
    <w:rPr>
      <w:rFonts w:ascii="Arial" w:hAnsi="Arial" w:cs="Arial"/>
    </w:rPr>
  </w:style>
  <w:style w:type="character" w:customStyle="1" w:styleId="Bibliography">
    <w:name w:val="Bibliography 字符"/>
    <w:basedOn w:val="a0"/>
    <w:link w:val="1"/>
    <w:rsid w:val="00A57310"/>
    <w:rPr>
      <w:rFonts w:ascii="Arial" w:hAnsi="Arial" w:cs="Arial"/>
    </w:rPr>
  </w:style>
  <w:style w:type="paragraph" w:styleId="a3">
    <w:name w:val="Normal (Web)"/>
    <w:basedOn w:val="a"/>
    <w:uiPriority w:val="99"/>
    <w:semiHidden/>
    <w:unhideWhenUsed/>
    <w:rsid w:val="00E211E2"/>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422">
      <w:bodyDiv w:val="1"/>
      <w:marLeft w:val="0"/>
      <w:marRight w:val="0"/>
      <w:marTop w:val="0"/>
      <w:marBottom w:val="0"/>
      <w:divBdr>
        <w:top w:val="none" w:sz="0" w:space="0" w:color="auto"/>
        <w:left w:val="none" w:sz="0" w:space="0" w:color="auto"/>
        <w:bottom w:val="none" w:sz="0" w:space="0" w:color="auto"/>
        <w:right w:val="none" w:sz="0" w:space="0" w:color="auto"/>
      </w:divBdr>
    </w:div>
    <w:div w:id="824668924">
      <w:bodyDiv w:val="1"/>
      <w:marLeft w:val="0"/>
      <w:marRight w:val="0"/>
      <w:marTop w:val="0"/>
      <w:marBottom w:val="0"/>
      <w:divBdr>
        <w:top w:val="none" w:sz="0" w:space="0" w:color="auto"/>
        <w:left w:val="none" w:sz="0" w:space="0" w:color="auto"/>
        <w:bottom w:val="none" w:sz="0" w:space="0" w:color="auto"/>
        <w:right w:val="none" w:sz="0" w:space="0" w:color="auto"/>
      </w:divBdr>
    </w:div>
    <w:div w:id="936718211">
      <w:bodyDiv w:val="1"/>
      <w:marLeft w:val="0"/>
      <w:marRight w:val="0"/>
      <w:marTop w:val="0"/>
      <w:marBottom w:val="0"/>
      <w:divBdr>
        <w:top w:val="none" w:sz="0" w:space="0" w:color="auto"/>
        <w:left w:val="none" w:sz="0" w:space="0" w:color="auto"/>
        <w:bottom w:val="none" w:sz="0" w:space="0" w:color="auto"/>
        <w:right w:val="none" w:sz="0" w:space="0" w:color="auto"/>
      </w:divBdr>
    </w:div>
    <w:div w:id="1041243989">
      <w:bodyDiv w:val="1"/>
      <w:marLeft w:val="0"/>
      <w:marRight w:val="0"/>
      <w:marTop w:val="0"/>
      <w:marBottom w:val="0"/>
      <w:divBdr>
        <w:top w:val="none" w:sz="0" w:space="0" w:color="auto"/>
        <w:left w:val="none" w:sz="0" w:space="0" w:color="auto"/>
        <w:bottom w:val="none" w:sz="0" w:space="0" w:color="auto"/>
        <w:right w:val="none" w:sz="0" w:space="0" w:color="auto"/>
      </w:divBdr>
    </w:div>
    <w:div w:id="1684085245">
      <w:bodyDiv w:val="1"/>
      <w:marLeft w:val="0"/>
      <w:marRight w:val="0"/>
      <w:marTop w:val="0"/>
      <w:marBottom w:val="0"/>
      <w:divBdr>
        <w:top w:val="none" w:sz="0" w:space="0" w:color="auto"/>
        <w:left w:val="none" w:sz="0" w:space="0" w:color="auto"/>
        <w:bottom w:val="none" w:sz="0" w:space="0" w:color="auto"/>
        <w:right w:val="none" w:sz="0" w:space="0" w:color="auto"/>
      </w:divBdr>
    </w:div>
    <w:div w:id="1806005286">
      <w:bodyDiv w:val="1"/>
      <w:marLeft w:val="0"/>
      <w:marRight w:val="0"/>
      <w:marTop w:val="0"/>
      <w:marBottom w:val="0"/>
      <w:divBdr>
        <w:top w:val="none" w:sz="0" w:space="0" w:color="auto"/>
        <w:left w:val="none" w:sz="0" w:space="0" w:color="auto"/>
        <w:bottom w:val="none" w:sz="0" w:space="0" w:color="auto"/>
        <w:right w:val="none" w:sz="0" w:space="0" w:color="auto"/>
      </w:divBdr>
    </w:div>
    <w:div w:id="209357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5706</Words>
  <Characters>32525</Characters>
  <Application>Microsoft Office Word</Application>
  <DocSecurity>0</DocSecurity>
  <Lines>271</Lines>
  <Paragraphs>76</Paragraphs>
  <ScaleCrop>false</ScaleCrop>
  <Company/>
  <LinksUpToDate>false</LinksUpToDate>
  <CharactersWithSpaces>38155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Shuo</dc:creator>
  <cp:keywords/>
  <dc:description/>
  <cp:lastModifiedBy>Cai, Shuo</cp:lastModifiedBy>
  <cp:revision>5</cp:revision>
  <cp:lastPrinted>2023-05-20T04:01:00Z</cp:lastPrinted>
  <dcterms:created xsi:type="dcterms:W3CDTF">2023-05-20T04:01:00Z</dcterms:created>
  <dcterms:modified xsi:type="dcterms:W3CDTF">2023-05-20T04:02:00Z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id="ejovBWYn"/&gt;&lt;style id="http://www.zotero.org/styles/harvard-cite-them-right" hasBibliography="1" bibliographyStyleHasBeenSet="1"/&gt;&lt;prefs&gt;&lt;pref name="fieldType" value="Field"/&gt;&lt;/prefs&gt;&lt;/data&gt;</vt:lpwstr>
  </property>
</Properties>
</file>