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201E" w:rsidRDefault="00E61C5B" w:rsidP="00E61C5B">
      <w:pPr>
        <w:pStyle w:val="a3"/>
        <w:numPr>
          <w:ilvl w:val="0"/>
          <w:numId w:val="2"/>
        </w:numPr>
        <w:ind w:leftChars="0"/>
      </w:pPr>
      <w:r w:rsidRPr="00E61C5B">
        <w:rPr>
          <w:rFonts w:ascii="Helvetica" w:hAnsi="Helvetica"/>
          <w:color w:val="000000"/>
          <w:sz w:val="20"/>
          <w:szCs w:val="20"/>
          <w:shd w:val="clear" w:color="auto" w:fill="FFFFFF"/>
        </w:rPr>
        <w:t>-Statistical Attacks</w:t>
      </w:r>
      <w:bookmarkStart w:id="0" w:name="_GoBack"/>
      <w:bookmarkEnd w:id="0"/>
      <w:r w:rsidRPr="00E61C5B">
        <w:rPr>
          <w:rFonts w:ascii="Helvetica" w:hAnsi="Helvetica"/>
          <w:color w:val="000000"/>
          <w:sz w:val="20"/>
          <w:szCs w:val="20"/>
        </w:rPr>
        <w:br/>
      </w:r>
      <w:r w:rsidRPr="00E61C5B">
        <w:rPr>
          <w:rFonts w:ascii="Helvetica" w:hAnsi="Helvetica"/>
          <w:color w:val="000000"/>
          <w:sz w:val="20"/>
          <w:szCs w:val="20"/>
          <w:shd w:val="clear" w:color="auto" w:fill="FFFFFF"/>
        </w:rPr>
        <w:t>-Base64 Encoding</w:t>
      </w:r>
      <w:r w:rsidRPr="00E61C5B">
        <w:rPr>
          <w:rFonts w:ascii="Helvetica" w:hAnsi="Helvetica"/>
          <w:color w:val="000000"/>
          <w:sz w:val="20"/>
          <w:szCs w:val="20"/>
        </w:rPr>
        <w:br/>
      </w:r>
      <w:r w:rsidRPr="00E61C5B">
        <w:rPr>
          <w:rFonts w:ascii="Helvetica" w:hAnsi="Helvetica"/>
          <w:color w:val="000000"/>
          <w:sz w:val="20"/>
          <w:szCs w:val="20"/>
          <w:shd w:val="clear" w:color="auto" w:fill="FFFFFF"/>
        </w:rPr>
        <w:t>-DES (including the Feistel Structure and the DES Feistel Function)</w:t>
      </w:r>
      <w:r w:rsidRPr="00E61C5B">
        <w:rPr>
          <w:rFonts w:ascii="Helvetica" w:hAnsi="Helvetica"/>
          <w:color w:val="000000"/>
          <w:sz w:val="20"/>
          <w:szCs w:val="20"/>
        </w:rPr>
        <w:br/>
      </w:r>
      <w:r w:rsidRPr="00E61C5B">
        <w:rPr>
          <w:rFonts w:ascii="Helvetica" w:hAnsi="Helvetica"/>
          <w:color w:val="000000"/>
          <w:sz w:val="20"/>
          <w:szCs w:val="20"/>
          <w:shd w:val="clear" w:color="auto" w:fill="FFFFFF"/>
        </w:rPr>
        <w:t>-Properties of Groups, Rings, and Fields</w:t>
      </w:r>
      <w:r w:rsidRPr="00E61C5B">
        <w:rPr>
          <w:rFonts w:ascii="Helvetica" w:hAnsi="Helvetica"/>
          <w:color w:val="000000"/>
          <w:sz w:val="20"/>
          <w:szCs w:val="20"/>
        </w:rPr>
        <w:br/>
      </w:r>
      <w:r w:rsidRPr="00E61C5B"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-Topics related to modular arithmetic. In particular: </w:t>
      </w:r>
      <w:proofErr w:type="spellStart"/>
      <w:r w:rsidRPr="00E61C5B">
        <w:rPr>
          <w:rFonts w:ascii="Helvetica" w:hAnsi="Helvetica"/>
          <w:color w:val="000000"/>
          <w:sz w:val="20"/>
          <w:szCs w:val="20"/>
          <w:shd w:val="clear" w:color="auto" w:fill="FFFFFF"/>
        </w:rPr>
        <w:t>Bezout's</w:t>
      </w:r>
      <w:proofErr w:type="spellEnd"/>
      <w:r w:rsidRPr="00E61C5B"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 Identity, Euclid's GCD Algorithm, and the set Z</w:t>
      </w:r>
      <w:r w:rsidRPr="00E61C5B">
        <w:rPr>
          <w:rFonts w:ascii="Helvetica" w:hAnsi="Helvetica"/>
          <w:color w:val="000000"/>
          <w:sz w:val="20"/>
          <w:szCs w:val="20"/>
          <w:bdr w:val="none" w:sz="0" w:space="0" w:color="auto" w:frame="1"/>
          <w:shd w:val="clear" w:color="auto" w:fill="FFFFFF"/>
          <w:vertAlign w:val="subscript"/>
        </w:rPr>
        <w:t>n</w:t>
      </w:r>
      <w:r w:rsidRPr="00E61C5B">
        <w:rPr>
          <w:rFonts w:ascii="Helvetica" w:hAnsi="Helvetica"/>
          <w:color w:val="000000"/>
          <w:sz w:val="20"/>
          <w:szCs w:val="20"/>
        </w:rPr>
        <w:br/>
      </w:r>
      <w:r w:rsidRPr="00E61C5B">
        <w:rPr>
          <w:rFonts w:ascii="Helvetica" w:hAnsi="Helvetica"/>
          <w:color w:val="000000"/>
          <w:sz w:val="20"/>
          <w:szCs w:val="20"/>
          <w:shd w:val="clear" w:color="auto" w:fill="FFFFFF"/>
        </w:rPr>
        <w:t>-Finite Fields of the Form GF(2</w:t>
      </w:r>
      <w:r w:rsidRPr="00E61C5B">
        <w:rPr>
          <w:rFonts w:ascii="Helvetica" w:hAnsi="Helvetica"/>
          <w:color w:val="000000"/>
          <w:sz w:val="20"/>
          <w:szCs w:val="20"/>
          <w:bdr w:val="none" w:sz="0" w:space="0" w:color="auto" w:frame="1"/>
          <w:shd w:val="clear" w:color="auto" w:fill="FFFFFF"/>
          <w:vertAlign w:val="superscript"/>
        </w:rPr>
        <w:t>n</w:t>
      </w:r>
      <w:r w:rsidRPr="00E61C5B">
        <w:rPr>
          <w:rFonts w:ascii="Helvetica" w:hAnsi="Helvetica"/>
          <w:color w:val="000000"/>
          <w:sz w:val="20"/>
          <w:szCs w:val="20"/>
          <w:shd w:val="clear" w:color="auto" w:fill="FFFFFF"/>
        </w:rPr>
        <w:t>) (including modular polynomial arithmetic over GF(2</w:t>
      </w:r>
      <w:r w:rsidRPr="00E61C5B">
        <w:rPr>
          <w:rFonts w:ascii="Helvetica" w:hAnsi="Helvetica"/>
          <w:color w:val="000000"/>
          <w:sz w:val="20"/>
          <w:szCs w:val="20"/>
          <w:bdr w:val="none" w:sz="0" w:space="0" w:color="auto" w:frame="1"/>
          <w:shd w:val="clear" w:color="auto" w:fill="FFFFFF"/>
          <w:vertAlign w:val="superscript"/>
        </w:rPr>
        <w:t>n</w:t>
      </w:r>
      <w:r w:rsidRPr="00E61C5B">
        <w:rPr>
          <w:rFonts w:ascii="Helvetica" w:hAnsi="Helvetica"/>
          <w:color w:val="000000"/>
          <w:sz w:val="20"/>
          <w:szCs w:val="20"/>
          <w:shd w:val="clear" w:color="auto" w:fill="FFFFFF"/>
        </w:rPr>
        <w:t>))</w:t>
      </w:r>
      <w:r w:rsidRPr="00E61C5B">
        <w:rPr>
          <w:rFonts w:ascii="Helvetica" w:hAnsi="Helvetica"/>
          <w:color w:val="000000"/>
          <w:sz w:val="20"/>
          <w:szCs w:val="20"/>
        </w:rPr>
        <w:br/>
      </w:r>
      <w:r w:rsidRPr="00E61C5B">
        <w:rPr>
          <w:rFonts w:ascii="Helvetica" w:hAnsi="Helvetica"/>
          <w:color w:val="000000"/>
          <w:sz w:val="20"/>
          <w:szCs w:val="20"/>
          <w:shd w:val="clear" w:color="auto" w:fill="FFFFFF"/>
        </w:rPr>
        <w:t>-AES</w:t>
      </w:r>
      <w:r w:rsidRPr="00E61C5B">
        <w:rPr>
          <w:rFonts w:ascii="Helvetica" w:hAnsi="Helvetica"/>
          <w:color w:val="000000"/>
          <w:sz w:val="20"/>
          <w:szCs w:val="20"/>
        </w:rPr>
        <w:br/>
      </w:r>
      <w:r w:rsidRPr="00E61C5B">
        <w:rPr>
          <w:rFonts w:ascii="Helvetica" w:hAnsi="Helvetica"/>
          <w:color w:val="000000"/>
          <w:sz w:val="20"/>
          <w:szCs w:val="20"/>
          <w:shd w:val="clear" w:color="auto" w:fill="FFFFFF"/>
        </w:rPr>
        <w:t>-Block Cipher Modes of Operation (to be covered next week in Lecture 9).</w:t>
      </w:r>
    </w:p>
    <w:sectPr w:rsidR="007A20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AC5A39"/>
    <w:multiLevelType w:val="hybridMultilevel"/>
    <w:tmpl w:val="0A78EC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6834C86"/>
    <w:multiLevelType w:val="hybridMultilevel"/>
    <w:tmpl w:val="D8DAB3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C5B"/>
    <w:rsid w:val="007A201E"/>
    <w:rsid w:val="00E6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45EEAC-C948-4577-8B90-AED5CAA04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1C5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書懷 張</dc:creator>
  <cp:keywords/>
  <dc:description/>
  <cp:lastModifiedBy>書懷 張</cp:lastModifiedBy>
  <cp:revision>1</cp:revision>
  <dcterms:created xsi:type="dcterms:W3CDTF">2020-02-07T18:54:00Z</dcterms:created>
  <dcterms:modified xsi:type="dcterms:W3CDTF">2020-02-07T18:56:00Z</dcterms:modified>
</cp:coreProperties>
</file>