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fdee20adef4842" /><Relationship Type="http://schemas.openxmlformats.org/package/2006/relationships/metadata/core-properties" Target="/docProps/core.xml" Id="R6d2471959cfe47ef" /><Relationship Type="http://schemas.openxmlformats.org/officeDocument/2006/relationships/extended-properties" Target="/docProps/app.xml" Id="R732e3ea3f29b400f" /><Relationship Type="http://schemas.openxmlformats.org/officeDocument/2006/relationships/custom-properties" Target="/docProps/custom.xml" Id="Rdc1b14e576a842d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40" w:after="200"/>
        <w:jc w:val="center"/>
      </w:pPr>
      <w:r>
        <w:rPr>
          <w:rFonts w:ascii="Microsoft YaHei" w:hAnsi="Microsoft YaHei" w:eastAsia="Microsoft YaHei"/>
          <w:b/>
          <w:color w:val="0A2540"/>
          <w:sz w:val="64"/>
        </w:rPr>
        <w:t xml:space="preserve">AI 赋能 BPF MR 实训</w:t>
      </w:r>
    </w:p>
    <w:p w14:paraId="00100002" w14:textId="001000EC">
      <w:pPr>
        <w:spacing w:after="560"/>
        <w:ind w:firstLine="420"/>
        <w:jc w:val="center"/>
      </w:pPr>
      <w:r>
        <w:rPr>
          <w:rFonts w:ascii="Microsoft YaHei" w:hAnsi="Microsoft YaHei" w:eastAsia="Microsoft YaHei"/>
          <w:color w:val="1479B8"/>
          <w:sz w:val="36"/>
        </w:rPr>
        <w:t xml:space="preserve">从固定流程到智能陪练</w:t>
      </w:r>
    </w:p>
    <w:p w14:paraId="00100004" w14:textId="001000ED">
      <w:pPr>
        <w:spacing w:after="680"/>
        <w:ind w:firstLine="420"/>
        <w:jc w:val="center"/>
      </w:pPr>
      <w:r>
        <w:rPr>
          <w:rFonts w:ascii="Microsoft YaHei" w:hAnsi="Microsoft YaHei" w:eastAsia="Microsoft YaHei"/>
          <w:color w:val="5A7188"/>
          <w:sz w:val="22"/>
        </w:rPr>
        <w:t xml:space="preserve">技术团队汇报逐页发言稿｜约 12 分钟｜与 PPT 演讲者备注同步</w:t>
      </w:r>
    </w:p>
    <w:p w14:paraId="00100006" w14:textId="00100007"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使用说明</w:t>
      </w:r>
    </w:p>
    <w:p w14:paraId="00100008" w14:textId="00100009">
      <w:pPr>
        <w:pStyle w:val="Heading2"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交付结构</w:t>
      </w:r>
    </w:p>
    <w:p w14:paraId="0010000A" w14:textId="001000EE">
      <w:pPr>
        <w:spacing w:after="240" w:line="336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本讲稿按 12 页 PPT 编排。每页包含建议时长、讲述目标、核心句、完整口语化讲稿、切换提示和资料来源。汇报时以 PPT 为视觉主线，讲稿不需要逐字照读。</w:t>
      </w:r>
    </w:p>
    <w:p w14:paraId="0010000C" w14:textId="0010000D"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目录</w:t>
      </w:r>
    </w:p>
    <w:p w14:paraId="0010000E" w14:textId="001000EF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封面：AI 赋能 BPF MR 实训</w:t>
      </w:r>
    </w:p>
    <w:p w14:paraId="00100010" w14:textId="001000F0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现状与机会：补上智能陪练</w:t>
      </w:r>
    </w:p>
    <w:p w14:paraId="00100012" w14:textId="001000F1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用户视角：更好的训练过程</w:t>
      </w:r>
    </w:p>
    <w:p w14:paraId="00100014" w14:textId="001000F2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案例全景：五类可复用模式</w:t>
      </w:r>
    </w:p>
    <w:p w14:paraId="00100016" w14:textId="001000F3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高相似案例：六个能力对标</w:t>
      </w:r>
    </w:p>
    <w:p w14:paraId="00100018" w14:textId="001000F4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能力闭环：解释、练习、复盘</w:t>
      </w:r>
    </w:p>
    <w:p w14:paraId="0010001A" w14:textId="001000F5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用户流程：AI 进入训练现场</w:t>
      </w:r>
    </w:p>
    <w:p w14:paraId="0010001C" w14:textId="001000F6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系统边界：TexCore 裁决，AI 建议</w:t>
      </w:r>
    </w:p>
    <w:p w14:paraId="0010001E" w14:textId="001000F7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试点模块：M02、M05、机器人与货架</w:t>
      </w:r>
    </w:p>
    <w:p w14:paraId="00100020" w14:textId="001000F8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首个 MVP：四项受控能力</w:t>
      </w:r>
    </w:p>
    <w:p w14:paraId="00100022" w14:textId="001000F9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路线图：从用户验证到教学分析</w:t>
      </w:r>
    </w:p>
    <w:p w14:paraId="00100024" w14:textId="001000FA">
      <w:pPr>
        <w:numPr>
          <w:ilvl w:val="0"/>
          <w:numId w:val="1"/>
        </w:numPr>
        <w:spacing w:after="40"/>
        <w:ind w:firstLine="420"/>
      </w:pPr>
      <w:r>
        <w:rPr>
          <w:rFonts w:ascii="Microsoft YaHei" w:hAnsi="Microsoft YaHei" w:eastAsia="Microsoft YaHei"/>
          <w:color w:val="35536D"/>
          <w:sz w:val="22"/>
        </w:rPr>
        <w:t xml:space="preserve">下一步：确认 M02 试点</w:t>
      </w:r>
    </w:p>
    <w:p w14:paraId="00100026" w14:textId="0010002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1 页｜AI 赋能 BPF MR 实训</w:t>
      </w:r>
    </w:p>
    <w:p w14:paraId="00100028" w14:textId="001000FB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建议时长｜50 秒</w:t>
      </w:r>
    </w:p>
    <w:p w14:paraId="0010002A" w14:textId="001000FC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讲述目标｜说明本次汇报讨论的是用户侧 AI，而不是 AI 辅助开发。</w:t>
      </w:r>
    </w:p>
    <w:p w14:paraId="0010002C" w14:textId="001000FD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核心句｜让 AI 成为解释、提示和复盘的陪练，让 TexCore 继续负责确定性考核。</w:t>
      </w:r>
    </w:p>
    <w:p w14:paraId="0010002E" w14:textId="0010002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30" w14:textId="001000FE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各位同事好，今天汇报的主题是“AI 赋能 BPF MR 实训”。我们不讨论用 AI 帮助开发 Unity，而是讨论学员使用产品时，AI 能怎样让训练更有效。核心结论很清楚：AI 应成为解释、提示和复盘的陪练；TexCore 继续作为步骤、积分和考核的确定性底座。接下来我会用外部案例、用户流程和一个可验证的 MVP 说明这条路线。</w:t>
      </w:r>
    </w:p>
    <w:p w14:paraId="00100032" w14:textId="001000FF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切换提示｜先看 BPF 已有的能力与用户体验缺口。</w:t>
      </w:r>
    </w:p>
    <w:p w14:paraId="00100034" w14:textId="00100145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资料来源｜BPF 项目上下文；案例调研主文档。</w:t>
      </w:r>
    </w:p>
    <w:p w14:paraId="00100036" w14:textId="0010003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2 页｜BPF 已有实训骨架，机会在于补上智能陪练</w:t>
      </w:r>
    </w:p>
    <w:p w14:paraId="00100038" w14:textId="00100101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建议时长｜60 秒</w:t>
      </w:r>
    </w:p>
    <w:p w14:paraId="0010003A" w14:textId="00100102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讲述目标｜明确现有能力与 AI 应补齐的用户体验。</w:t>
      </w:r>
    </w:p>
    <w:p w14:paraId="0010003C" w14:textId="00100103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核心句｜BPF 不是从零做 AI，关键是把既有 TexCore 流程升级为可解释、可复盘的训练。</w:t>
      </w:r>
    </w:p>
    <w:p w14:paraId="0010003E" w14:textId="0010003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40" w14:textId="00100104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BPF 不是从零开始做 AI 产品。当前系统已经具备 MR 场景、PICO 交互、TexCore 三层步骤树、模块积分，以及多种题型和提示入口。真正的缺口在用户体验层：学员不会时，系统多半只能给固定提示；学员做错时，缺少针对错误原因的解释；训练结束后，教师和学员也缺少过程层面的复盘。因此，AI 的价值不是替换现有骨架，而是让它从“可完成的流程”成长为“可被理解和反复练习的能力”。</w:t>
      </w:r>
    </w:p>
    <w:p w14:paraId="00100042" w14:textId="00100105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切换提示｜下面换到学员视角，定义我们真正要改善的训练过程。</w:t>
      </w:r>
    </w:p>
    <w:p w14:paraId="00100044" w14:textId="00100146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资料来源｜当前 BPF 业务能力盘点；案例调研主文档。</w:t>
      </w:r>
    </w:p>
    <w:p w14:paraId="00100046" w14:textId="0010004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3 页｜用户需要的不是聊天入口，而是一段更好的训练过程</w:t>
      </w:r>
    </w:p>
    <w:p w14:paraId="00100048" w14:textId="00100107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建议时长｜50 秒</w:t>
      </w:r>
    </w:p>
    <w:p w14:paraId="0010004A" w14:textId="00100108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讲述目标｜把 AI 需求定义为训练旅程，而不是泛问答功能。</w:t>
      </w:r>
    </w:p>
    <w:p w14:paraId="0010004C" w14:textId="00100109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核心句｜AI 应绑定当前任务上下文，服务于理解、纠错和复盘。</w:t>
      </w:r>
    </w:p>
    <w:p w14:paraId="0010004E" w14:textId="0010004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50" w14:textId="0010010A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从用户角度看，AI 的入口不应该只是屏幕角落里的聊天框。学员真正需要的是一个连续训练过程：进入模块后先理解目标，操作时得到恰当提示，做错以后知道错误在哪里，完成后看到自己下一次应该怎样改进。我们把 AI 放在这段旅程中，而不是放在流程之外。这样设计也避免了无关问答，所有交互都围绕当前模块、当前 Topic 和当前 Step。</w:t>
      </w:r>
    </w:p>
    <w:p w14:paraId="00100052" w14:textId="0010010B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切换提示｜外部市场已经给出了不少可以复用的用户侧模式。</w:t>
      </w:r>
    </w:p>
    <w:p w14:paraId="00100054" w14:textId="0010010C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资料来源｜产品设计归纳，参考两份案例调研。</w:t>
      </w:r>
    </w:p>
    <w:p w14:paraId="00100056" w14:textId="0010005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4 页｜70+ 一手案例说明：AI 与沉浸式实训已形成五类模式</w:t>
      </w:r>
    </w:p>
    <w:p w14:paraId="00100058" w14:textId="0010010D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建议时长｜60 秒</w:t>
      </w:r>
    </w:p>
    <w:p w14:paraId="0010005A" w14:textId="0010010E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讲述目标｜说明方案有充分外部验证，但不照搬案例。</w:t>
      </w:r>
    </w:p>
    <w:p w14:paraId="0010005C" w14:textId="0010010F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核心句｜BPF 应从五类成熟模式中选择适合当前模块的能力组合。</w:t>
      </w:r>
    </w:p>
    <w:p w14:paraId="0010005E" w14:textId="0010005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60" w14:textId="00100110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我们调研并整理了七十多个来自厂商、政府、大学和研究机构的一手案例。它们并不都属于仓储实训，但用户侧模式高度可复用。可以归为五类：第一类是 AI 虚拟教练和情景对话；第二类是视觉识别与现场作业指导；第三类是机器人和工厂数字孪生；第四类是学习过程分析与个性化推荐；第五类是医疗、消防、航空等高风险训练。BPF 不必照搬任何一个产品，而是应挑选最贴合现有模块的能力组合。</w:t>
      </w:r>
    </w:p>
    <w:p w14:paraId="00100062" w14:textId="00100111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切换提示｜从案例库中，先抽取六个与 BPF 最接近的参考。</w:t>
      </w:r>
    </w:p>
    <w:p w14:paraId="00100064" w14:textId="00100147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资料来源｜案例调研主文档；案例调研扩展文档。</w:t>
      </w:r>
    </w:p>
    <w:p w14:paraId="00100066" w14:textId="0010006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5 页｜六个高相似案例，分别验证了 BPF 需要的能力</w:t>
      </w:r>
    </w:p>
    <w:p w14:paraId="00100068" w14:textId="00100113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建议时长｜65 秒</w:t>
      </w:r>
    </w:p>
    <w:p w14:paraId="0010006A" w14:textId="00100114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讲述目标｜将案例映射到 BPF 具体能力。</w:t>
      </w:r>
    </w:p>
    <w:p w14:paraId="0010006C" w14:textId="00100115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核心句｜六个对标案例覆盖从学员陪练到教师分析的完整闭环。</w:t>
      </w:r>
    </w:p>
    <w:p w14:paraId="0010006E" w14:textId="0010006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70" w14:textId="00100116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如果只选择六个最值得对标的案例，我建议看这六个。Talespin 证明角色可以承担追问和情景训练；Labster 证明 AI 可以围绕实验步骤提供解释；TeamViewer 证明现场视觉指导可以识别对象并确认作业；Augmentir 证明作业数据能变成技能缺口；Tulip 证明教师可以通过自然语言理解现场数据；Interplay 则证明职业技能训练可以根据表现推荐下一段学习。六个案例组合起来，恰好对应 BPF 从实训现场到教学管理的完整闭环。</w:t>
      </w:r>
    </w:p>
    <w:p w14:paraId="00100072" w14:textId="00100117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切换提示｜接下来将这些外部能力收敛为 BPF 第一阶段可做的五件事。</w:t>
      </w:r>
    </w:p>
    <w:p w14:paraId="00100074" w14:textId="0010014D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资料来源｜代表案例官方产品页，详见案例调研主文档。</w:t>
      </w:r>
    </w:p>
    <w:p w14:paraId="00100076" w14:textId="0010007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6 页｜可先复用五种能力，形成“解释—练习—复盘”闭环</w:t>
      </w:r>
    </w:p>
    <w:p w14:paraId="00100078" w14:textId="00100119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建议时长｜60 秒</w:t>
      </w:r>
    </w:p>
    <w:p w14:paraId="0010007A" w14:textId="0010011A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讲述目标｜收敛首期产品能力，避免“万能 AI”。</w:t>
      </w:r>
    </w:p>
    <w:p w14:paraId="0010007C" w14:textId="0010011B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核心句｜先实现受控问答、分级提示、过程记录、复盘和推荐。</w:t>
      </w:r>
    </w:p>
    <w:p w14:paraId="0010007E" w14:textId="0010007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80" w14:textId="0010011C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综合案例和 BPF 现有能力，第一阶段不需要做一个万能助手，只要控制在五种能力。第一，回答当前步骤问题；第二，按学习者状态给三级提示；第三，记录耗时、重试、对象和工具选择；第四，在完成后做个人复盘；第五，根据弱项推荐补练。这五项连起来，就形成了解释、练习和复盘的闭环。它们都可以逐步接入，也都能在没有 AI 服务时退回到预置内容。</w:t>
      </w:r>
    </w:p>
    <w:p w14:paraId="00100082" w14:textId="0010011D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切换提示｜为了避免 AI 成为孤立功能，下面看它如何嵌入用户训练流程。</w:t>
      </w:r>
    </w:p>
    <w:p w14:paraId="00100084" w14:textId="00100148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资料来源｜案例模式归纳：案例调研主文档。</w:t>
      </w:r>
    </w:p>
    <w:p w14:paraId="00100086" w14:textId="0010008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7 页｜用户流程应把 AI 放进训练现场，而不是放在流程外</w:t>
      </w:r>
    </w:p>
    <w:p w14:paraId="00100088" w14:textId="0010011F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建议时长｜55 秒</w:t>
      </w:r>
    </w:p>
    <w:p w14:paraId="0010008A" w14:textId="00100120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讲述目标｜说明 AI 与 TexCore 用户流程的协作关系。</w:t>
      </w:r>
    </w:p>
    <w:p w14:paraId="0010008C" w14:textId="00100121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核心句｜AI 消费当前上下文和过程事件，输出受控帮助与复盘。</w:t>
      </w:r>
    </w:p>
    <w:p w14:paraId="0010008E" w14:textId="0010008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90" w14:textId="00100122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这一页把用户流程具体化。学员进入模块，按原有 TexCore 流程执行操作；当他请求提示或表达困惑时，AI 只读取当前模块、当前 Topic、当前 Step 和对应资料；任务完成后，系统把确定性的步骤结果与过程事件交给 AI 生成复盘，并推荐补练。AI 不是一个平行入口，而是嵌入在训练现场的服务层。这样用户得到帮助时不会脱离任务，教师看到的也仍然是完整、可追溯的训练过程。</w:t>
      </w:r>
    </w:p>
    <w:p w14:paraId="00100092" w14:textId="00100123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切换提示｜这就需要明确 AI 与确定性业务逻辑之间的系统边界。</w:t>
      </w:r>
    </w:p>
    <w:p w14:paraId="00100094" w14:textId="00100124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资料来源｜BPF 用户流程设计建议；TexCore 现有步骤树语义。</w:t>
      </w:r>
    </w:p>
    <w:p w14:paraId="00100096" w14:textId="0010009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8 页｜系统边界：TexCore 负责裁决，AI 负责解释与建议</w:t>
      </w:r>
    </w:p>
    <w:p w14:paraId="00100098" w14:textId="00100125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建议时长｜65 秒</w:t>
      </w:r>
    </w:p>
    <w:p w14:paraId="0010009A" w14:textId="00100126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讲述目标｜锁定安全、公平和可回退的技术边界。</w:t>
      </w:r>
    </w:p>
    <w:p w14:paraId="0010009C" w14:textId="00100127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核心句｜AI 不直接改写 stepIndex、积分、门禁或考核结果。</w:t>
      </w:r>
    </w:p>
    <w:p w14:paraId="0010009E" w14:textId="0010009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A0" w14:textId="00100128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技术实现的第一原则是边界清晰。TexCore 继续独立负责 stepIndex、积分、完成门禁、考核结果和场景交互；这些结果不能由大模型直接写入。AI 只消费经过授权的上下文和过程事件，再输出解释、提示、追问、复盘和推荐。这个边界一方面防止模型幻觉影响考核公平性，另一方面也保留了离线回退能力。对于视觉或语音评分，还要记录置信度，并允许教师复核自动结论。</w:t>
      </w:r>
    </w:p>
    <w:p w14:paraId="001000A2" w14:textId="00100129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切换提示｜在边界确定后，可以选择不同难度的模块逐步验证。</w:t>
      </w:r>
    </w:p>
    <w:p w14:paraId="001000A4" w14:textId="00100149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资料来源｜案例调研主文档“推荐的边界”；TexCore 现有业务语义。</w:t>
      </w:r>
    </w:p>
    <w:p w14:paraId="001000A6" w14:textId="001000A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9 页｜三类模块适合分层试点，先验证用户价值再扩大</w:t>
      </w:r>
    </w:p>
    <w:p w14:paraId="001000A8" w14:textId="0010012B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建议时长｜60 秒</w:t>
      </w:r>
    </w:p>
    <w:p w14:paraId="001000AA" w14:textId="0010012C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讲述目标｜确定模块试点顺序与验证重点。</w:t>
      </w:r>
    </w:p>
    <w:p w14:paraId="001000AC" w14:textId="0010012D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核心句｜M02 先验证陪练价值，M05 再验证视觉辅助，机器人模块最后验证风险与效率评价。</w:t>
      </w:r>
    </w:p>
    <w:p w14:paraId="001000AE" w14:textId="001000A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B0" w14:textId="0010012E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试点不建议同时覆盖所有模块。第一优先是 M02 服务器系统安装，因为它的知识上下文、步骤树和常见疑问都最清晰，最适合验证问答、提示和复盘。第二步才是 M05 划线贴码，验证二维码、位置和轨迹等视觉辅助。第三层是机器人和货架入场，验证路径效率、安全距离和场景变体。这样的顺序遵循一个原则：先证明用户愿意使用、确实学得更好，再增加视觉和高风险评价。</w:t>
      </w:r>
    </w:p>
    <w:p w14:paraId="001000B2" w14:textId="0010012F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切换提示｜因此首个 MVP 的范围应尽量克制，先完成一条完整闭环。</w:t>
      </w:r>
    </w:p>
    <w:p w14:paraId="001000B4" w14:textId="0010014A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资料来源｜案例调研主文档“对 BPF 的产品化结论”。</w:t>
      </w:r>
    </w:p>
    <w:p w14:paraId="001000B6" w14:textId="001000B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10 页｜首个 MVP 只做四件事，并保证离线时不影响原流程</w:t>
      </w:r>
    </w:p>
    <w:p w14:paraId="001000B8" w14:textId="00100131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建议时长｜65 秒</w:t>
      </w:r>
    </w:p>
    <w:p w14:paraId="001000BA" w14:textId="00100132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讲述目标｜定义可验证、可回退的最小范围。</w:t>
      </w:r>
    </w:p>
    <w:p w14:paraId="001000BC" w14:textId="00100133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核心句｜MVP 衡量的是上下文准确、学习改善与流程稳定，而不是对话数量。</w:t>
      </w:r>
    </w:p>
    <w:p w14:paraId="001000BE" w14:textId="001000B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C0" w14:textId="00100134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首个 MVP 的范围必须克制。只做四件事：当前步骤知识助手、三级提示、过程事件记录，以及训练后的三条改进建议。最重要的验收不是模型回答得多漂亮，而是它是否能准确绑定当前步骤、是否真的减少无效重试、是否让教师更快识别薄弱点。同时，MVP 必须有清晰的离线回退：服务不可用时，系统退回现有预置提示，TexCore 原有控制器和完成逻辑完全不受影响。</w:t>
      </w:r>
    </w:p>
    <w:p w14:paraId="001000C2" w14:textId="00100135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切换提示｜完成 MVP 后，再按照用户证据逐步进入视觉和教师端能力。</w:t>
      </w:r>
    </w:p>
    <w:p w14:paraId="001000C4" w14:textId="0010014B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资料来源｜案例调研主文档“首个可验证 MVP”。</w:t>
      </w:r>
    </w:p>
    <w:p w14:paraId="001000C6" w14:textId="001000C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11 页｜路线图：先验证学习效果，再逐步增加感知与教学分析</w:t>
      </w:r>
    </w:p>
    <w:p w14:paraId="001000C8" w14:textId="00100137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建议时长｜55 秒</w:t>
      </w:r>
    </w:p>
    <w:p w14:paraId="001000CA" w14:textId="00100138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讲述目标｜给出由小到大的实施判断顺序。</w:t>
      </w:r>
    </w:p>
    <w:p w14:paraId="001000CC" w14:textId="00100139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核心句｜每一阶段以前一阶段的用户证据为前提，而非一次性建设大平台。</w:t>
      </w:r>
    </w:p>
    <w:p w14:paraId="001000CE" w14:textId="001000C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D0" w14:textId="0010013A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路线图分四步推进。阶段一，用 M02 验证陪练 MVP；阶段二，用真实训练数据验证它是否减少无效重试、降低提示依赖、改善复盘质量；阶段三，再把视觉辅助接入 M05；阶段四，才建设教师端的错误聚类和技能画像。每一阶段都以前一阶段的用户证据为前提，避免一次性做出难以验证的大平台。因此本轮最需要的决策不是选择模型，而是确认 M02 服务器系统安装作为首个 AI 试点。</w:t>
      </w:r>
    </w:p>
    <w:p w14:paraId="001000D2" w14:textId="0010013B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切换提示｜最后总结决策请求和完整资料位置。</w:t>
      </w:r>
    </w:p>
    <w:p w14:paraId="001000D4" w14:textId="0010013C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资料来源｜基于外部案例和 BPF 模块特点的路线建议。</w:t>
      </w:r>
    </w:p>
    <w:p w14:paraId="001000D6" w14:textId="001000D7">
      <w:pPr>
        <w:pStyle w:val="Heading1"/>
        <w:keepNext/>
        <w:pageBreakBefore/>
        <w:spacing w:after="200"/>
      </w:pPr>
      <w:r>
        <w:rPr>
          <w:rFonts w:ascii="Microsoft YaHei" w:hAnsi="Microsoft YaHei" w:eastAsia="Microsoft YaHei"/>
          <w:b/>
          <w:color w:val="0A2540"/>
          <w:sz w:val="40"/>
        </w:rPr>
        <w:t xml:space="preserve">第 12 页｜确认 M02 试点，进入用户验证</w:t>
      </w:r>
    </w:p>
    <w:p w14:paraId="001000D8" w14:textId="0010013D">
      <w:pPr>
        <w:spacing w:after="80"/>
        <w:ind w:firstLine="420"/>
      </w:pPr>
      <w:r>
        <w:rPr>
          <w:rFonts w:ascii="Microsoft YaHei" w:hAnsi="Microsoft YaHei" w:eastAsia="Microsoft YaHei"/>
          <w:b/>
          <w:color w:val="1479B8"/>
          <w:sz w:val="22"/>
        </w:rPr>
        <w:t xml:space="preserve">建议时长｜45 秒</w:t>
      </w:r>
    </w:p>
    <w:p w14:paraId="001000DA" w14:textId="0010013E">
      <w:pPr>
        <w:spacing w:after="80"/>
        <w:ind w:firstLine="420"/>
      </w:pPr>
      <w:r>
        <w:rPr>
          <w:rFonts w:ascii="Microsoft YaHei" w:hAnsi="Microsoft YaHei" w:eastAsia="Microsoft YaHei"/>
          <w:color w:val="21374D"/>
          <w:sz w:val="22"/>
        </w:rPr>
        <w:t xml:space="preserve">讲述目标｜以明确决策结束汇报。</w:t>
      </w:r>
    </w:p>
    <w:p w14:paraId="001000DC" w14:textId="0010013F">
      <w:pPr>
        <w:shd w:val="clear" w:fill="E1F5FC"/>
        <w:spacing w:after="200"/>
        <w:ind w:firstLine="420"/>
      </w:pPr>
      <w:r>
        <w:rPr>
          <w:rFonts w:ascii="Microsoft YaHei" w:hAnsi="Microsoft YaHei" w:eastAsia="Microsoft YaHei"/>
          <w:b/>
          <w:color w:val="0A2540"/>
          <w:sz w:val="24"/>
        </w:rPr>
        <w:t xml:space="preserve">核心句｜先用受控陪练验证用户价值，再决定视觉与教学分析的投入。</w:t>
      </w:r>
    </w:p>
    <w:p w14:paraId="001000DE" w14:textId="001000DF">
      <w:pPr>
        <w:pStyle w:val="Heading2"/>
        <w:keepNext/>
        <w:spacing w:after="120"/>
      </w:pPr>
      <w:r>
        <w:rPr>
          <w:rFonts w:ascii="Microsoft YaHei" w:hAnsi="Microsoft YaHei" w:eastAsia="Microsoft YaHei"/>
          <w:b/>
          <w:color w:val="1479B8"/>
          <w:sz w:val="28"/>
        </w:rPr>
        <w:t xml:space="preserve">发言稿</w:t>
      </w:r>
    </w:p>
    <w:p w14:paraId="001000E0" w14:textId="00100140">
      <w:pPr>
        <w:spacing w:after="200" w:line="360" w:lineRule="auto"/>
        <w:ind w:firstLine="420"/>
      </w:pPr>
      <w:r>
        <w:rPr>
          <w:rFonts w:ascii="Microsoft YaHei" w:hAnsi="Microsoft YaHei" w:eastAsia="Microsoft YaHei"/>
          <w:color w:val="21374D"/>
          <w:sz w:val="24"/>
        </w:rPr>
        <w:t xml:space="preserve">最后总结一下。BPF 的优势是已经拥有确定性的 MR 实训骨架；AI 的机会是把它升级为更能解释、更能陪练、更能复盘的产品。我们已有充分的外部案例参考，也明确了技术边界和最小可验证范围。建议确认 M02 作为首个试点：先把当前步骤问答、三级提示、过程事件和训练复盘做成闭环，再用用户数据决定是否进入视觉辅助和教师端分析。详细案例和官方链接已经整理在两份调研文档中。</w:t>
      </w:r>
    </w:p>
    <w:p w14:paraId="001000E2" w14:textId="00100141">
      <w:pPr>
        <w:spacing w:after="100"/>
        <w:ind w:firstLine="420"/>
      </w:pPr>
      <w:r>
        <w:rPr>
          <w:rFonts w:ascii="Microsoft YaHei" w:hAnsi="Microsoft YaHei" w:eastAsia="Microsoft YaHei"/>
          <w:i/>
          <w:color w:val="5A7188"/>
          <w:sz w:val="22"/>
        </w:rPr>
        <w:t xml:space="preserve">切换提示｜汇报结束，可进入模块范围、数据来源和验证指标讨论。</w:t>
      </w:r>
    </w:p>
    <w:p w14:paraId="001000E4" w14:textId="0010014C">
      <w:pPr>
        <w:spacing w:after="160"/>
        <w:ind w:firstLine="420"/>
      </w:pPr>
      <w:r>
        <w:rPr>
          <w:rFonts w:ascii="Microsoft YaHei" w:hAnsi="Microsoft YaHei" w:eastAsia="Microsoft YaHei"/>
          <w:color w:val="5A7188"/>
          <w:sz w:val="20"/>
        </w:rPr>
        <w:t xml:space="preserve">资料来源｜案例调研主文档；案例调研扩展文档。</w:t>
      </w:r>
    </w:p>
    <w:sectPr>
      <w:footerReference w:type="default" r:id="R4f085aacbdbe4673"/>
      <w:footerReference w:type="first" r:id="R39fd8e48c58a4b96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E6" w14:textId="001000E7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E8" w14:textId="001000EB">
    <w:pPr>
      <w:jc w:val="center"/>
    </w:pPr>
    <w:r>
      <w:rPr>
        <w:rFonts w:ascii="Microsoft YaHei" w:hAnsi="Microsoft YaHei" w:eastAsia="Microsoft YaHei"/>
        <w:color w:val="5A71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027012ee712432d" /><Relationship Type="http://schemas.openxmlformats.org/officeDocument/2006/relationships/styles" Target="/word/styles.xml" Id="Ra44318f40e6a4771" /><Relationship Type="http://schemas.openxmlformats.org/officeDocument/2006/relationships/theme" Target="/word/theme/theme1.xml" Id="Rdcbc0d22ff8a4147" /><Relationship Type="http://schemas.openxmlformats.org/officeDocument/2006/relationships/numbering" Target="/word/numbering.xml" Id="Rf6c445677cfb4a9c" /><Relationship Type="http://schemas.openxmlformats.org/officeDocument/2006/relationships/footer" Target="/word/footer1.xml" Id="R39fd8e48c58a4b96" /><Relationship Type="http://schemas.openxmlformats.org/officeDocument/2006/relationships/footer" Target="/word/footer2.xml" Id="R4f085aacbdbe46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2026-08-26T19:29:09Z</dcterms:created>
  <cp:lastModifiedBy>OfficeCLI</cp:lastModifiedBy>
  <dcterms:modified xsi:type="dcterms:W3CDTF">2026-08-26T19:29:09Z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2026-08-26T19:36:29Z</vt:lpwstr>
  </op:property>
</op:Properties>
</file>