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Portfolio Asset Architecture</w:t>
      </w:r>
    </w:p>
    <w:p>
      <w:pPr>
        <w:jc w:val="center"/>
      </w:pPr>
      <w:r>
        <w:rPr>
          <w:i/>
          <w:sz w:val="28"/>
        </w:rPr>
        <w:t>POC Project Report &amp; Codex Implementation Specification</w:t>
      </w:r>
    </w:p>
    <w:p>
      <w:pPr>
        <w:jc w:val="center"/>
      </w:pPr>
      <w:r>
        <w:t>Scope: portfolios, groups, assets, holdings, asset types, valuation, income/yield, themes, and the market-data boundary</w:t>
      </w:r>
    </w:p>
    <w:p/>
    <w:p>
      <w:pPr>
        <w:pStyle w:val="Heading1"/>
      </w:pPr>
      <w:r>
        <w:t>1. Executive Summary</w:t>
      </w:r>
    </w:p>
    <w:p>
      <w:r>
        <w:t>The application is a universal portfolio and net-worth foundation that can start as a simple “see everything I own in one place” product, while supporting a much deeper thematic-investing and dividend/cash-flow workflow for power users. The design deliberately avoids building or maintaining a global securities master. The permanent database stores the user’s portfolio structure and ownership. External providers supply brokerage state and market data; replaceable market data is cached.</w:t>
      </w:r>
    </w:p>
    <w:p>
      <w:r>
        <w:t>The central ownership hierarchy is: Portfolio -&gt; Group -&gt; Holding -&gt; Asset -&gt; AssetType. Every Holding belongs to exactly one Group. Every Group belongs to exactly one Portfolio. A hidden/system Ungrouped Group keeps the structure consistent when a user adds an asset without explicitly organizing it. Synced Groups are provider-controlled; manual Groups are user-controlled.</w:t>
      </w:r>
    </w:p>
    <w:p>
      <w:pPr>
        <w:pStyle w:val="CodeBlock"/>
      </w:pPr>
      <w:r>
        <w:t>Portfolio</w:t>
        <w:br/>
        <w:t xml:space="preserve">  |</w:t>
        <w:br/>
        <w:t xml:space="preserve">  +-- Group [SYSTEM | MANUAL | SYNCED]</w:t>
        <w:br/>
        <w:t xml:space="preserve">        |</w:t>
        <w:br/>
        <w:t xml:space="preserve">        +-- Holding</w:t>
        <w:br/>
        <w:t xml:space="preserve">              |</w:t>
        <w:br/>
        <w:t xml:space="preserve">              +-- Asset</w:t>
        <w:br/>
        <w:t xml:space="preserve">                    |</w:t>
        <w:br/>
        <w:t xml:space="preserve">                    +-- AssetType</w:t>
        <w:br/>
        <w:br/>
        <w:t>Optional analytical layers:</w:t>
        <w:br/>
        <w:t>Holding &lt;-&gt; Theme</w:t>
        <w:br/>
        <w:t>Holding/Asset -&gt; IncomeSource</w:t>
        <w:br/>
        <w:t>Asset -&gt; MarketDataService -&gt; Cache -&gt; Market-data provider</w:t>
        <w:br/>
        <w:t>Synced Group/Holding &lt;- Brokerage Sync Provider</w:t>
      </w:r>
    </w:p>
    <w:p>
      <w:pPr>
        <w:pStyle w:val="Heading1"/>
      </w:pPr>
      <w:r>
        <w:t>2. Product Goals</w:t>
      </w:r>
    </w:p>
    <w:p>
      <w:pPr>
        <w:pStyle w:val="ListBullet"/>
      </w:pPr>
      <w:r>
        <w:t>Make the default experience extremely simple: connect accounts and/or manually add assets, then see a consolidated portfolio/net worth.</w:t>
      </w:r>
    </w:p>
    <w:p>
      <w:pPr>
        <w:pStyle w:val="ListBullet"/>
      </w:pPr>
      <w:r>
        <w:t>Support arbitrary real-world assets: public securities, cash, real estate, vehicles, precious metals, collectibles, private investments, and user-defined asset types.</w:t>
      </w:r>
    </w:p>
    <w:p>
      <w:pPr>
        <w:pStyle w:val="ListBullet"/>
      </w:pPr>
      <w:r>
        <w:t>Support brokerage-synced holdings without allowing manual edits to corrupt provider state.</w:t>
      </w:r>
    </w:p>
    <w:p>
      <w:pPr>
        <w:pStyle w:val="ListBullet"/>
      </w:pPr>
      <w:r>
        <w:t>Support manually added public securities that can optionally be linked to market data.</w:t>
      </w:r>
    </w:p>
    <w:p>
      <w:pPr>
        <w:pStyle w:val="ListBullet"/>
      </w:pPr>
      <w:r>
        <w:t>Make dividends, income, cash flow, current yield, and yield-on-cost first-class POC features.</w:t>
      </w:r>
    </w:p>
    <w:p>
      <w:pPr>
        <w:pStyle w:val="ListBullet"/>
      </w:pPr>
      <w:r>
        <w:t>Allow optional themes and subthemes that cut across groups and asset types, enabling thesis-based investing analysis.</w:t>
      </w:r>
    </w:p>
    <w:p>
      <w:pPr>
        <w:pStyle w:val="ListBullet"/>
      </w:pPr>
      <w:r>
        <w:t>Avoid maintaining a global stock/security database, ticker-change catalog, or global corporate-actions engine.</w:t>
      </w:r>
    </w:p>
    <w:p>
      <w:pPr>
        <w:pStyle w:val="ListBullet"/>
      </w:pPr>
      <w:r>
        <w:t>Preserve a path to future asset-manager/client use without forcing institutional complexity into the individual-investor POC.</w:t>
      </w:r>
    </w:p>
    <w:p>
      <w:pPr>
        <w:pStyle w:val="Heading1"/>
      </w:pPr>
      <w:r>
        <w:t>3. Design Principles and Conclusions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Pr>
          <w:p>
            <w:r>
              <w:rPr>
                <w:b/>
              </w:rPr>
              <w:t>Principle</w:t>
            </w:r>
          </w:p>
        </w:tc>
        <w:tc>
          <w:tcPr>
            <w:tcW w:type="dxa" w:w="7056"/>
            <w:shd w:fill="D9EAF7"/>
            <w:vAlign w:val="center"/>
          </w:tcPr>
          <w:p>
            <w:r>
              <w:rPr>
                <w:b/>
              </w:rPr>
              <w:t>Decision</w:t>
            </w:r>
          </w:p>
        </w:tc>
      </w:tr>
      <w:tr>
        <w:tc>
          <w:tcPr>
            <w:tcW w:type="dxa" w:w="2880"/>
            <w:vAlign w:val="top"/>
          </w:tcPr>
          <w:p>
            <w:r>
              <w:t>Portfolio is the truth</w:t>
            </w:r>
          </w:p>
        </w:tc>
        <w:tc>
          <w:tcPr>
            <w:tcW w:type="dxa" w:w="7056"/>
            <w:vAlign w:val="top"/>
          </w:tcPr>
          <w:p>
            <w:r>
              <w:t>Sheets/themes are analytical views. They do not own or duplicate financial positions.</w:t>
            </w:r>
          </w:p>
        </w:tc>
      </w:tr>
      <w:tr>
        <w:tc>
          <w:tcPr>
            <w:tcW w:type="dxa" w:w="2880"/>
            <w:vAlign w:val="top"/>
          </w:tcPr>
          <w:p>
            <w:r>
              <w:t>Group is organizational storage</w:t>
            </w:r>
          </w:p>
        </w:tc>
        <w:tc>
          <w:tcPr>
            <w:tcW w:type="dxa" w:w="7056"/>
            <w:vAlign w:val="top"/>
          </w:tcPr>
          <w:p>
            <w:r>
              <w:t>A Group can mean IBKR, Cars, Pokémon Cards, Home Safe, Real Estate, or anything the user chooses.</w:t>
            </w:r>
          </w:p>
        </w:tc>
      </w:tr>
      <w:tr>
        <w:tc>
          <w:tcPr>
            <w:tcW w:type="dxa" w:w="2880"/>
            <w:vAlign w:val="top"/>
          </w:tcPr>
          <w:p>
            <w:r>
              <w:t>Holding is ownership</w:t>
            </w:r>
          </w:p>
        </w:tc>
        <w:tc>
          <w:tcPr>
            <w:tcW w:type="dxa" w:w="7056"/>
            <w:vAlign w:val="top"/>
          </w:tcPr>
          <w:p>
            <w:r>
              <w:t>Quantity, average cost, provider position identity, and ownership-specific state belong here.</w:t>
            </w:r>
          </w:p>
        </w:tc>
      </w:tr>
      <w:tr>
        <w:tc>
          <w:tcPr>
            <w:tcW w:type="dxa" w:w="2880"/>
            <w:vAlign w:val="top"/>
          </w:tcPr>
          <w:p>
            <w:r>
              <w:t>Asset is the thing</w:t>
            </w:r>
          </w:p>
        </w:tc>
        <w:tc>
          <w:tcPr>
            <w:tcW w:type="dxa" w:w="7056"/>
            <w:vAlign w:val="top"/>
          </w:tcPr>
          <w:p>
            <w:r>
              <w:t>Apple, 123 Main Street, a gold bar, a Charizard, etc. It describes identity/characteristics, not ownership quantity.</w:t>
            </w:r>
          </w:p>
        </w:tc>
      </w:tr>
      <w:tr>
        <w:tc>
          <w:tcPr>
            <w:tcW w:type="dxa" w:w="2880"/>
            <w:vAlign w:val="top"/>
          </w:tcPr>
          <w:p>
            <w:r>
              <w:t>AssetType says what it is</w:t>
            </w:r>
          </w:p>
        </w:tc>
        <w:tc>
          <w:tcPr>
            <w:tcW w:type="dxa" w:w="7056"/>
            <w:vAlign w:val="top"/>
          </w:tcPr>
          <w:p>
            <w:r>
              <w:t>Built-in and user-created types coexist. Custom types avoid gatekeeping.</w:t>
            </w:r>
          </w:p>
        </w:tc>
      </w:tr>
      <w:tr>
        <w:tc>
          <w:tcPr>
            <w:tcW w:type="dxa" w:w="2880"/>
            <w:vAlign w:val="top"/>
          </w:tcPr>
          <w:p>
            <w:r>
              <w:t>Synced and manual are separated</w:t>
            </w:r>
          </w:p>
        </w:tc>
        <w:tc>
          <w:tcPr>
            <w:tcW w:type="dxa" w:w="7056"/>
            <w:vAlign w:val="top"/>
          </w:tcPr>
          <w:p>
            <w:r>
              <w:t>Synced Groups are controlled by the brokerage integration; manual Groups are controlled by the user.</w:t>
            </w:r>
          </w:p>
        </w:tc>
      </w:tr>
      <w:tr>
        <w:tc>
          <w:tcPr>
            <w:tcW w:type="dxa" w:w="2880"/>
            <w:vAlign w:val="top"/>
          </w:tcPr>
          <w:p>
            <w:r>
              <w:t>Market data is enrichment</w:t>
            </w:r>
          </w:p>
        </w:tc>
        <w:tc>
          <w:tcPr>
            <w:tcW w:type="dxa" w:w="7056"/>
            <w:vAlign w:val="top"/>
          </w:tcPr>
          <w:p>
            <w:r>
              <w:t>Price/dividend/profile data is not the source of ownership truth and should normally live in cache.</w:t>
            </w:r>
          </w:p>
        </w:tc>
      </w:tr>
      <w:tr>
        <w:tc>
          <w:tcPr>
            <w:tcW w:type="dxa" w:w="2880"/>
            <w:vAlign w:val="top"/>
          </w:tcPr>
          <w:p>
            <w:r>
              <w:t>Failures do not destroy ownership</w:t>
            </w:r>
          </w:p>
        </w:tc>
        <w:tc>
          <w:tcPr>
            <w:tcW w:type="dxa" w:w="7056"/>
            <w:vAlign w:val="top"/>
          </w:tcPr>
          <w:p>
            <w:r>
              <w:t>If market data fails or a symbol becomes invalid, the Holding/Asset remains.</w:t>
            </w:r>
          </w:p>
        </w:tc>
      </w:tr>
      <w:tr>
        <w:tc>
          <w:tcPr>
            <w:tcW w:type="dxa" w:w="2880"/>
            <w:vAlign w:val="top"/>
          </w:tcPr>
          <w:p>
            <w:r>
              <w:t>Themes are optional</w:t>
            </w:r>
          </w:p>
        </w:tc>
        <w:tc>
          <w:tcPr>
            <w:tcW w:type="dxa" w:w="7056"/>
            <w:vAlign w:val="top"/>
          </w:tcPr>
          <w:p>
            <w:r>
              <w:t>A user can ignore themes entirely and still use the full portfolio product.</w:t>
            </w:r>
          </w:p>
        </w:tc>
      </w:tr>
      <w:tr>
        <w:tc>
          <w:tcPr>
            <w:tcW w:type="dxa" w:w="2880"/>
            <w:vAlign w:val="top"/>
          </w:tcPr>
          <w:p>
            <w:r>
              <w:t>Duplicates are allowed</w:t>
            </w:r>
          </w:p>
        </w:tc>
        <w:tc>
          <w:tcPr>
            <w:tcW w:type="dxa" w:w="7056"/>
            <w:vAlign w:val="top"/>
          </w:tcPr>
          <w:p>
            <w:r>
              <w:t>Database does not gatekeep legitimate duplicate positions; UI can suggest merging manual duplicates.</w:t>
            </w:r>
          </w:p>
        </w:tc>
      </w:tr>
    </w:tbl>
    <w:p/>
    <w:p>
      <w:pPr>
        <w:pStyle w:val="Heading1"/>
      </w:pPr>
      <w:r>
        <w:t>4. How We Arrived at This Architecture</w:t>
      </w:r>
    </w:p>
    <w:p>
      <w:r>
        <w:t>The initial approach considered a shared global AssetReference/Stock catalog so that one Apple record could serve every user. That would reduce repeated market-data requests, but it recreated the exact operational burden the project is trying to avoid: catalog imports, identifier normalization, ticker/name changes, delistings, international corporate actions, and ongoing reconciliation.</w:t>
      </w:r>
    </w:p>
    <w:p>
      <w:r>
        <w:t>The key realization was that two different problems had been coupled: (1) ownership identity and (2) shared market data. Ownership must be stored per user/portfolio because Josh’s 100 shares and Juno’s 50 shares are genuinely different records. Shared price/dividend data does not require a shared PostgreSQL security record; a cache key can deduplicate the expensive market-data work.</w:t>
      </w:r>
    </w:p>
    <w:p>
      <w:r>
        <w:t>A second design question was whether every asset must live in an Account. Because “account” was being used as a generic storage concept rather than a literal bank/brokerage account, the model was renamed conceptually to Group. To keep the backend structurally consistent, every Holding belongs to a Group, while the UI can make grouping optional by silently assigning unorganized manual holdings to a system Ungrouped Group.</w:t>
      </w:r>
    </w:p>
    <w:p>
      <w:r>
        <w:t>A third question was whether Asset and Holding should be one model. They were separated because “what the thing is” and “what the user owns” change for different reasons. This also permits the same asset concept to appear in multiple holdings, preserves cost/quantity semantics, and gives a clean future path to transactions, lots, transfers, and historical performance.</w:t>
      </w:r>
    </w:p>
    <w:p>
      <w:pPr>
        <w:pStyle w:val="Heading1"/>
      </w:pPr>
      <w:r>
        <w:t>5. Domain Model</w:t>
      </w:r>
    </w:p>
    <w:p>
      <w:pPr>
        <w:pStyle w:val="Heading2"/>
      </w:pPr>
      <w:r>
        <w:t>5.1 Portfolio</w:t>
      </w:r>
    </w:p>
    <w:p>
      <w:r>
        <w:t>A Portfolio is the top-level ownership/analysis boundary. It represents one collection of wealth and has a base reporting currency.</w:t>
      </w:r>
    </w:p>
    <w:p>
      <w:pPr>
        <w:pStyle w:val="CodeBlock"/>
      </w:pPr>
      <w:r>
        <w:t>Portfolio</w:t>
        <w:br/>
        <w:t>- id</w:t>
        <w:br/>
        <w:t>- owner/user</w:t>
        <w:br/>
        <w:t>- name</w:t>
        <w:br/>
        <w:t>- base_currency</w:t>
        <w:br/>
        <w:t>- created_at</w:t>
        <w:br/>
        <w:t>- updated_at</w:t>
      </w:r>
    </w:p>
    <w:p>
      <w:r>
        <w:t>The schema should support multiple portfolios from day one even if the POC UI initially gives most users one. This avoids a later migration when supporting spouses, family portfolios, business assets, or asset-manager client portfolios.</w:t>
      </w:r>
    </w:p>
    <w:p>
      <w:pPr>
        <w:pStyle w:val="Heading2"/>
      </w:pPr>
      <w:r>
        <w:t>5.2 Group</w:t>
      </w:r>
    </w:p>
    <w:p>
      <w:r>
        <w:t>A Group is the storage/organization layer inside a Portfolio. It is intentionally broad. A brokerage account is a Group, but so are Cars, Pokémon Cards, Home Safe, Rental Properties, or any user-created grouping.</w:t>
      </w:r>
    </w:p>
    <w:p>
      <w:pPr>
        <w:pStyle w:val="CodeBlock"/>
      </w:pPr>
      <w:r>
        <w:t>Group</w:t>
        <w:br/>
        <w:t>- id</w:t>
        <w:br/>
        <w:t>- portfolio_id</w:t>
        <w:br/>
        <w:t>- name</w:t>
        <w:br/>
        <w:t>- mode: SYSTEM | MANUAL | SYNCED</w:t>
        <w:br/>
        <w:t>- provider: nullable</w:t>
        <w:br/>
        <w:t>- provider_account_id: nullable</w:t>
        <w:br/>
        <w:t>- provider_metadata: JSON, optional</w:t>
        <w:br/>
        <w:t>- created_at</w:t>
        <w:br/>
        <w:t>- updated_at</w:t>
      </w:r>
    </w:p>
    <w:p>
      <w:pPr>
        <w:pStyle w:val="ListBullet"/>
      </w:pPr>
      <w:r>
        <w:t>SYSTEM: created by the application; primarily the hidden/default Ungrouped Group.</w:t>
      </w:r>
    </w:p>
    <w:p>
      <w:pPr>
        <w:pStyle w:val="ListBullet"/>
      </w:pPr>
      <w:r>
        <w:t>MANUAL: user-controlled; user can add, edit, move, and remove manual Holdings.</w:t>
      </w:r>
    </w:p>
    <w:p>
      <w:pPr>
        <w:pStyle w:val="ListBullet"/>
      </w:pPr>
      <w:r>
        <w:t>SYNCED: external-provider-controlled; holdings are reconciled from the brokerage integration.</w:t>
      </w:r>
    </w:p>
    <w:p>
      <w:r>
        <w:t>Recommended invariant: every Portfolio has exactly one SYSTEM Ungrouped Group. The user does not need to select or manage it. If a manual asset is added without a chosen Group, the backend assigns its Holding to Ungrouped.</w:t>
      </w:r>
    </w:p>
    <w:p>
      <w:pPr>
        <w:pStyle w:val="Heading2"/>
      </w:pPr>
      <w:r>
        <w:t>5.3 AssetType</w:t>
      </w:r>
    </w:p>
    <w:p>
      <w:r>
        <w:t>AssetType describes what an Asset is. The application ships with broad defaults and allows user-defined types.</w:t>
      </w:r>
    </w:p>
    <w:p>
      <w:pPr>
        <w:pStyle w:val="CodeBlock"/>
      </w:pPr>
      <w:r>
        <w:t>AssetType</w:t>
        <w:br/>
        <w:t>- id</w:t>
        <w:br/>
        <w:t>- owner_id: nullable   # NULL = system type; user = custom type</w:t>
        <w:br/>
        <w:t>- name</w:t>
        <w:br/>
        <w:t>- system_category</w:t>
        <w:br/>
        <w:t>- is_active</w:t>
        <w:br/>
        <w:t>- created_at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Pr>
          <w:p>
            <w:r>
              <w:rPr>
                <w:b/>
              </w:rPr>
              <w:t>System category</w:t>
            </w:r>
          </w:p>
        </w:tc>
        <w:tc>
          <w:tcPr>
            <w:tcW w:type="dxa" w:w="7056"/>
            <w:shd w:fill="D9EAF7"/>
            <w:vAlign w:val="center"/>
          </w:tcPr>
          <w:p>
            <w:r>
              <w:rPr>
                <w:b/>
              </w:rPr>
              <w:t>Example built-ins/custom types</w:t>
            </w:r>
          </w:p>
        </w:tc>
      </w:tr>
      <w:tr>
        <w:tc>
          <w:tcPr>
            <w:tcW w:type="dxa" w:w="2880"/>
            <w:vAlign w:val="top"/>
          </w:tcPr>
          <w:p>
            <w:r>
              <w:t>SECURITY</w:t>
            </w:r>
          </w:p>
        </w:tc>
        <w:tc>
          <w:tcPr>
            <w:tcW w:type="dxa" w:w="7056"/>
            <w:vAlign w:val="top"/>
          </w:tcPr>
          <w:p>
            <w:r>
              <w:t>Stock, ETF, Fund, Bond; custom: Preferred Share</w:t>
            </w:r>
          </w:p>
        </w:tc>
      </w:tr>
      <w:tr>
        <w:tc>
          <w:tcPr>
            <w:tcW w:type="dxa" w:w="2880"/>
            <w:vAlign w:val="top"/>
          </w:tcPr>
          <w:p>
            <w:r>
              <w:t>CASH</w:t>
            </w:r>
          </w:p>
        </w:tc>
        <w:tc>
          <w:tcPr>
            <w:tcW w:type="dxa" w:w="7056"/>
            <w:vAlign w:val="top"/>
          </w:tcPr>
          <w:p>
            <w:r>
              <w:t>Cash, Deposit</w:t>
            </w:r>
          </w:p>
        </w:tc>
      </w:tr>
      <w:tr>
        <w:tc>
          <w:tcPr>
            <w:tcW w:type="dxa" w:w="2880"/>
            <w:vAlign w:val="top"/>
          </w:tcPr>
          <w:p>
            <w:r>
              <w:t>REAL_ESTATE</w:t>
            </w:r>
          </w:p>
        </w:tc>
        <w:tc>
          <w:tcPr>
            <w:tcW w:type="dxa" w:w="7056"/>
            <w:vAlign w:val="top"/>
          </w:tcPr>
          <w:p>
            <w:r>
              <w:t>Home, Rental Property, Land</w:t>
            </w:r>
          </w:p>
        </w:tc>
      </w:tr>
      <w:tr>
        <w:tc>
          <w:tcPr>
            <w:tcW w:type="dxa" w:w="2880"/>
            <w:vAlign w:val="top"/>
          </w:tcPr>
          <w:p>
            <w:r>
              <w:t>VEHICLE</w:t>
            </w:r>
          </w:p>
        </w:tc>
        <w:tc>
          <w:tcPr>
            <w:tcW w:type="dxa" w:w="7056"/>
            <w:vAlign w:val="top"/>
          </w:tcPr>
          <w:p>
            <w:r>
              <w:t>Car, Motorcycle, Boat</w:t>
            </w:r>
          </w:p>
        </w:tc>
      </w:tr>
      <w:tr>
        <w:tc>
          <w:tcPr>
            <w:tcW w:type="dxa" w:w="2880"/>
            <w:vAlign w:val="top"/>
          </w:tcPr>
          <w:p>
            <w:r>
              <w:t>COMMODITY</w:t>
            </w:r>
          </w:p>
        </w:tc>
        <w:tc>
          <w:tcPr>
            <w:tcW w:type="dxa" w:w="7056"/>
            <w:vAlign w:val="top"/>
          </w:tcPr>
          <w:p>
            <w:r>
              <w:t>Precious Metal; custom: Gold Bars</w:t>
            </w:r>
          </w:p>
        </w:tc>
      </w:tr>
      <w:tr>
        <w:tc>
          <w:tcPr>
            <w:tcW w:type="dxa" w:w="2880"/>
            <w:vAlign w:val="top"/>
          </w:tcPr>
          <w:p>
            <w:r>
              <w:t>COLLECTIBLE</w:t>
            </w:r>
          </w:p>
        </w:tc>
        <w:tc>
          <w:tcPr>
            <w:tcW w:type="dxa" w:w="7056"/>
            <w:vAlign w:val="top"/>
          </w:tcPr>
          <w:p>
            <w:r>
              <w:t>Collectible; custom: Pokémon Card, Watch, Art</w:t>
            </w:r>
          </w:p>
        </w:tc>
      </w:tr>
      <w:tr>
        <w:tc>
          <w:tcPr>
            <w:tcW w:type="dxa" w:w="2880"/>
            <w:vAlign w:val="top"/>
          </w:tcPr>
          <w:p>
            <w:r>
              <w:t>PRIVATE_ASSET</w:t>
            </w:r>
          </w:p>
        </w:tc>
        <w:tc>
          <w:tcPr>
            <w:tcW w:type="dxa" w:w="7056"/>
            <w:vAlign w:val="top"/>
          </w:tcPr>
          <w:p>
            <w:r>
              <w:t>Private Company, Private Fund</w:t>
            </w:r>
          </w:p>
        </w:tc>
      </w:tr>
      <w:tr>
        <w:tc>
          <w:tcPr>
            <w:tcW w:type="dxa" w:w="2880"/>
            <w:vAlign w:val="top"/>
          </w:tcPr>
          <w:p>
            <w:r>
              <w:t>OTHER</w:t>
            </w:r>
          </w:p>
        </w:tc>
        <w:tc>
          <w:tcPr>
            <w:tcW w:type="dxa" w:w="7056"/>
            <w:vAlign w:val="top"/>
          </w:tcPr>
          <w:p>
            <w:r>
              <w:t>Anything that does not fit elsewhere</w:t>
            </w:r>
          </w:p>
        </w:tc>
      </w:tr>
    </w:tbl>
    <w:p/>
    <w:p>
      <w:r>
        <w:t>The broad system_category is for application behavior and analytics; the user-facing type can be specific. For example, Pokémon Card can be a user-created AssetType whose system_category is COLLECTIBLE.</w:t>
      </w:r>
    </w:p>
    <w:p>
      <w:pPr>
        <w:pStyle w:val="Heading2"/>
      </w:pPr>
      <w:r>
        <w:t>5.4 Asset</w:t>
      </w:r>
    </w:p>
    <w:p>
      <w:r>
        <w:t>Asset describes the thing itself. It is portfolio-scoped, not a global market catalog. This is deliberate: the app should not become responsible for maintaining a worldwide security master.</w:t>
      </w:r>
    </w:p>
    <w:p>
      <w:pPr>
        <w:pStyle w:val="CodeBlock"/>
      </w:pPr>
      <w:r>
        <w:t>Asset</w:t>
        <w:br/>
        <w:t>- id</w:t>
        <w:br/>
        <w:t>- portfolio_id</w:t>
        <w:br/>
        <w:t>- asset_type_id</w:t>
        <w:br/>
        <w:t>- name</w:t>
        <w:br/>
        <w:t>- native_currency</w:t>
        <w:br/>
        <w:t>- status: ACTIVE | INACTIVE | ARCHIVED</w:t>
        <w:br/>
        <w:br/>
        <w:t># Optional market linkage</w:t>
        <w:br/>
        <w:t>- market_linked: bool</w:t>
        <w:br/>
        <w:t>- market_symbol: nullable</w:t>
        <w:br/>
        <w:t>- market_exchange: nullable</w:t>
        <w:br/>
        <w:t>- market_identity: JSON, optional fingerprint</w:t>
        <w:br/>
        <w:br/>
        <w:t># Flexible type-specific information</w:t>
        <w:br/>
        <w:t>- metadata: JSON</w:t>
        <w:br/>
        <w:br/>
        <w:t>- created_at</w:t>
        <w:br/>
        <w:t>- updated_at</w:t>
      </w:r>
    </w:p>
    <w:p>
      <w:r>
        <w:t>Examples of metadata: property address, vehicle VIN, collectible grade, weight/unit for precious metal, or other type-specific details. Do not create dozens of nullable columns on Asset for every possible asset category.</w:t>
      </w:r>
    </w:p>
    <w:p>
      <w:pPr>
        <w:pStyle w:val="Heading2"/>
      </w:pPr>
      <w:r>
        <w:t>5.5 Holding</w:t>
      </w:r>
    </w:p>
    <w:p>
      <w:r>
        <w:t>Holding is the ownership record. It connects an Asset to the Group in which the position is held and contains quantity/cost/provider ownership state.</w:t>
      </w:r>
    </w:p>
    <w:p>
      <w:pPr>
        <w:pStyle w:val="CodeBlock"/>
      </w:pPr>
      <w:r>
        <w:t>Holding</w:t>
        <w:br/>
        <w:t>- id</w:t>
        <w:br/>
        <w:t>- group_id</w:t>
        <w:br/>
        <w:t>- asset_id</w:t>
        <w:br/>
        <w:t>- status: ACTIVE | CLOSED | ARCHIVED</w:t>
        <w:br/>
        <w:br/>
        <w:t>- quantity</w:t>
        <w:br/>
        <w:t>- average_cost: nullable</w:t>
        <w:br/>
        <w:t>- cost_currency: nullable</w:t>
        <w:br/>
        <w:br/>
        <w:t># Manual/provider valuation fallback</w:t>
        <w:br/>
        <w:t>- manual_value: nullable</w:t>
        <w:br/>
        <w:t>- provider_value: nullable</w:t>
        <w:br/>
        <w:t>- provider_value_as_of: nullable</w:t>
        <w:br/>
        <w:br/>
        <w:t># Sync identity</w:t>
        <w:br/>
        <w:t>- source: MANUAL | SYNCED</w:t>
        <w:br/>
        <w:t>- provider_position_id: nullable</w:t>
        <w:br/>
        <w:t>- provider_security_id: nullable</w:t>
        <w:br/>
        <w:t>- provider_metadata: JSON, optional</w:t>
        <w:br/>
        <w:br/>
        <w:t>- created_at</w:t>
        <w:br/>
        <w:t>- updated_at</w:t>
      </w:r>
    </w:p>
    <w:p>
      <w:r>
        <w:t>Multiple Holdings of the same Asset are allowed, including within the same Group. The UI should warn a manual user when an apparently duplicate holding is added and offer to add to/merge with the existing holding, but the database should not enforce uniqueness that could reject legitimate cases.</w:t>
      </w:r>
    </w:p>
    <w:p>
      <w:pPr>
        <w:pStyle w:val="Heading1"/>
      </w:pPr>
      <w:r>
        <w:t>6. Relationship Diagram</w:t>
      </w:r>
    </w:p>
    <w:p>
      <w:pPr>
        <w:pStyle w:val="CodeBlock"/>
      </w:pPr>
      <w:r>
        <w:t>User</w:t>
        <w:br/>
        <w:t xml:space="preserve"> |</w:t>
        <w:br/>
        <w:t xml:space="preserve"> +-- Portfolio (1..N)</w:t>
        <w:br/>
        <w:t xml:space="preserve">       |</w:t>
        <w:br/>
        <w:t xml:space="preserve">       +-- Group (1..N)</w:t>
        <w:br/>
        <w:t xml:space="preserve">       |     |</w:t>
        <w:br/>
        <w:t xml:space="preserve">       |     +-- Holding (1..N)</w:t>
        <w:br/>
        <w:t xml:space="preserve">       |           |</w:t>
        <w:br/>
        <w:t xml:space="preserve">       |           +-- Asset (N..1 within portfolio scope)</w:t>
        <w:br/>
        <w:t xml:space="preserve">       |                 |</w:t>
        <w:br/>
        <w:t xml:space="preserve">       |                 +-- AssetType</w:t>
        <w:br/>
        <w:t xml:space="preserve">       |</w:t>
        <w:br/>
        <w:t xml:space="preserve">       +-- Theme (0..N)</w:t>
        <w:br/>
        <w:t xml:space="preserve">             |</w:t>
        <w:br/>
        <w:t xml:space="preserve">             +-- ThemeHolding / ThemeAssignment</w:t>
        <w:br/>
        <w:t xml:space="preserve">                   |</w:t>
        <w:br/>
        <w:t xml:space="preserve">                   +-- Holding</w:t>
        <w:br/>
        <w:br/>
        <w:t>Portfolio always has one SYSTEM 'Ungrouped' Group.</w:t>
        <w:br/>
        <w:t>Manual holdings may be moved among MANUAL/SYSTEM groups.</w:t>
        <w:br/>
        <w:t>Synced holdings remain in their provider-controlled SYNCED group.</w:t>
      </w:r>
    </w:p>
    <w:p>
      <w:pPr>
        <w:pStyle w:val="Heading1"/>
      </w:pPr>
      <w:r>
        <w:t>7. Group and Sync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D9EAF7"/>
            <w:vAlign w:val="center"/>
          </w:tcPr>
          <w:p>
            <w:r>
              <w:rPr>
                <w:b/>
              </w:rPr>
              <w:t>Rule</w:t>
            </w:r>
          </w:p>
        </w:tc>
        <w:tc>
          <w:tcPr>
            <w:tcW w:type="dxa" w:w="3384"/>
            <w:shd w:fill="D9EAF7"/>
            <w:vAlign w:val="center"/>
          </w:tcPr>
          <w:p>
            <w:r>
              <w:rPr>
                <w:b/>
              </w:rPr>
              <w:t>MANUAL/SYSTEM Group</w:t>
            </w:r>
          </w:p>
        </w:tc>
        <w:tc>
          <w:tcPr>
            <w:tcW w:type="dxa" w:w="3384"/>
            <w:shd w:fill="D9EAF7"/>
            <w:vAlign w:val="center"/>
          </w:tcPr>
          <w:p>
            <w:r>
              <w:rPr>
                <w:b/>
              </w:rPr>
              <w:t>SYNCED Group</w:t>
            </w:r>
          </w:p>
        </w:tc>
      </w:tr>
      <w:tr>
        <w:tc>
          <w:tcPr>
            <w:tcW w:type="dxa" w:w="3024"/>
            <w:vAlign w:val="top"/>
          </w:tcPr>
          <w:p>
            <w:r>
              <w:t>Who creates holdings?</w:t>
            </w:r>
          </w:p>
        </w:tc>
        <w:tc>
          <w:tcPr>
            <w:tcW w:type="dxa" w:w="3384"/>
            <w:vAlign w:val="top"/>
          </w:tcPr>
          <w:p>
            <w:r>
              <w:t>User/application</w:t>
            </w:r>
          </w:p>
        </w:tc>
        <w:tc>
          <w:tcPr>
            <w:tcW w:type="dxa" w:w="3384"/>
            <w:vAlign w:val="top"/>
          </w:tcPr>
          <w:p>
            <w:r>
              <w:t>Sync provider</w:t>
            </w:r>
          </w:p>
        </w:tc>
      </w:tr>
      <w:tr>
        <w:tc>
          <w:tcPr>
            <w:tcW w:type="dxa" w:w="3024"/>
            <w:vAlign w:val="top"/>
          </w:tcPr>
          <w:p>
            <w:r>
              <w:t>Manual add?</w:t>
            </w:r>
          </w:p>
        </w:tc>
        <w:tc>
          <w:tcPr>
            <w:tcW w:type="dxa" w:w="3384"/>
            <w:vAlign w:val="top"/>
          </w:tcPr>
          <w:p>
            <w:r>
              <w:t>Yes</w:t>
            </w:r>
          </w:p>
        </w:tc>
        <w:tc>
          <w:tcPr>
            <w:tcW w:type="dxa" w:w="3384"/>
            <w:vAlign w:val="top"/>
          </w:tcPr>
          <w:p>
            <w:r>
              <w:t>No</w:t>
            </w:r>
          </w:p>
        </w:tc>
      </w:tr>
      <w:tr>
        <w:tc>
          <w:tcPr>
            <w:tcW w:type="dxa" w:w="3024"/>
            <w:vAlign w:val="top"/>
          </w:tcPr>
          <w:p>
            <w:r>
              <w:t>Manual delete?</w:t>
            </w:r>
          </w:p>
        </w:tc>
        <w:tc>
          <w:tcPr>
            <w:tcW w:type="dxa" w:w="3384"/>
            <w:vAlign w:val="top"/>
          </w:tcPr>
          <w:p>
            <w:r>
              <w:t>Yes</w:t>
            </w:r>
          </w:p>
        </w:tc>
        <w:tc>
          <w:tcPr>
            <w:tcW w:type="dxa" w:w="3384"/>
            <w:vAlign w:val="top"/>
          </w:tcPr>
          <w:p>
            <w:r>
              <w:t>No; provider reconciliation controls position</w:t>
            </w:r>
          </w:p>
        </w:tc>
      </w:tr>
      <w:tr>
        <w:tc>
          <w:tcPr>
            <w:tcW w:type="dxa" w:w="3024"/>
            <w:vAlign w:val="top"/>
          </w:tcPr>
          <w:p>
            <w:r>
              <w:t>Move holding in/out?</w:t>
            </w:r>
          </w:p>
        </w:tc>
        <w:tc>
          <w:tcPr>
            <w:tcW w:type="dxa" w:w="3384"/>
            <w:vAlign w:val="top"/>
          </w:tcPr>
          <w:p>
            <w:r>
              <w:t>Yes between manual/system groups</w:t>
            </w:r>
          </w:p>
        </w:tc>
        <w:tc>
          <w:tcPr>
            <w:tcW w:type="dxa" w:w="3384"/>
            <w:vAlign w:val="top"/>
          </w:tcPr>
          <w:p>
            <w:r>
              <w:t>No</w:t>
            </w:r>
          </w:p>
        </w:tc>
      </w:tr>
      <w:tr>
        <w:tc>
          <w:tcPr>
            <w:tcW w:type="dxa" w:w="3024"/>
            <w:vAlign w:val="top"/>
          </w:tcPr>
          <w:p>
            <w:r>
              <w:t>Edit quantity/cost?</w:t>
            </w:r>
          </w:p>
        </w:tc>
        <w:tc>
          <w:tcPr>
            <w:tcW w:type="dxa" w:w="3384"/>
            <w:vAlign w:val="top"/>
          </w:tcPr>
          <w:p>
            <w:r>
              <w:t>Yes</w:t>
            </w:r>
          </w:p>
        </w:tc>
        <w:tc>
          <w:tcPr>
            <w:tcW w:type="dxa" w:w="3384"/>
            <w:vAlign w:val="top"/>
          </w:tcPr>
          <w:p>
            <w:r>
              <w:t>No for provider-owned fields</w:t>
            </w:r>
          </w:p>
        </w:tc>
      </w:tr>
      <w:tr>
        <w:tc>
          <w:tcPr>
            <w:tcW w:type="dxa" w:w="3024"/>
            <w:vAlign w:val="top"/>
          </w:tcPr>
          <w:p>
            <w:r>
              <w:t>Edit app metadata/themes/notes?</w:t>
            </w:r>
          </w:p>
        </w:tc>
        <w:tc>
          <w:tcPr>
            <w:tcW w:type="dxa" w:w="3384"/>
            <w:vAlign w:val="top"/>
          </w:tcPr>
          <w:p>
            <w:r>
              <w:t>Yes</w:t>
            </w:r>
          </w:p>
        </w:tc>
        <w:tc>
          <w:tcPr>
            <w:tcW w:type="dxa" w:w="3384"/>
            <w:vAlign w:val="top"/>
          </w:tcPr>
          <w:p>
            <w:r>
              <w:t>Yes</w:t>
            </w:r>
          </w:p>
        </w:tc>
      </w:tr>
      <w:tr>
        <w:tc>
          <w:tcPr>
            <w:tcW w:type="dxa" w:w="3024"/>
            <w:vAlign w:val="top"/>
          </w:tcPr>
          <w:p>
            <w:r>
              <w:t>Convert mode?</w:t>
            </w:r>
          </w:p>
        </w:tc>
        <w:tc>
          <w:tcPr>
            <w:tcW w:type="dxa" w:w="3384"/>
            <w:vAlign w:val="top"/>
          </w:tcPr>
          <w:p>
            <w:r>
              <w:t>Do not mutate in place</w:t>
            </w:r>
          </w:p>
        </w:tc>
        <w:tc>
          <w:tcPr>
            <w:tcW w:type="dxa" w:w="3384"/>
            <w:vAlign w:val="top"/>
          </w:tcPr>
          <w:p>
            <w:r>
              <w:t>Do not mutate in place</w:t>
            </w:r>
          </w:p>
        </w:tc>
      </w:tr>
      <w:tr>
        <w:tc>
          <w:tcPr>
            <w:tcW w:type="dxa" w:w="3024"/>
            <w:vAlign w:val="top"/>
          </w:tcPr>
          <w:p>
            <w:r>
              <w:t>If connection is removed?</w:t>
            </w:r>
          </w:p>
        </w:tc>
        <w:tc>
          <w:tcPr>
            <w:tcW w:type="dxa" w:w="3384"/>
            <w:vAlign w:val="top"/>
          </w:tcPr>
          <w:p>
            <w:r>
              <w:t>N/A</w:t>
            </w:r>
          </w:p>
        </w:tc>
        <w:tc>
          <w:tcPr>
            <w:tcW w:type="dxa" w:w="3384"/>
            <w:vAlign w:val="top"/>
          </w:tcPr>
          <w:p>
            <w:r>
              <w:t>Preserve historical data; define disconnect/archive policy</w:t>
            </w:r>
          </w:p>
        </w:tc>
      </w:tr>
    </w:tbl>
    <w:p/>
    <w:p>
      <w:r>
        <w:t>If a user manually created a Group called “Interactive Brokers” and later connects the real brokerage, create a new SYNCED Group rather than silently converting or merging the manual Group. A guided migration/merge can be added later.</w:t>
      </w:r>
    </w:p>
    <w:p>
      <w:pPr>
        <w:pStyle w:val="Heading1"/>
      </w:pPr>
      <w:r>
        <w:t>8. Synced Security Lifecycle</w:t>
      </w:r>
    </w:p>
    <w:p>
      <w:r>
        <w:t>Example: Josh and Juno both own XYZ in brokerage-synced Groups.</w:t>
      </w:r>
    </w:p>
    <w:p>
      <w:pPr>
        <w:pStyle w:val="CodeBlock"/>
      </w:pPr>
      <w:r>
        <w:t>1. Brokerage sync returns provider account + positions.</w:t>
        <w:br/>
        <w:t>2. SyncService locates/creates the SYNCED Group using provider_account_id.</w:t>
        <w:br/>
        <w:t>3. For each provider position:</w:t>
        <w:br/>
        <w:t xml:space="preserve">   - match by provider_position_id/provider_security_id where available</w:t>
        <w:br/>
        <w:t xml:space="preserve">   - create/update Asset descriptive fields</w:t>
        <w:br/>
        <w:t xml:space="preserve">   - create/update Holding quantity, average cost, provider IDs</w:t>
        <w:br/>
        <w:t>4. MarketDataService receives the current market symbol/exchange.</w:t>
        <w:br/>
        <w:t>5. It checks shared cache.</w:t>
        <w:br/>
        <w:t>6. Missing/stale market data is fetched from the market-data provider and cached.</w:t>
        <w:br/>
        <w:t>7. Valuation/Income services combine Holding ownership with cached market data.</w:t>
        <w:br/>
        <w:t>8. UI renders the position.</w:t>
      </w:r>
    </w:p>
    <w:p>
      <w:pPr>
        <w:pStyle w:val="Heading2"/>
      </w:pPr>
      <w:r>
        <w:t>8.1 Ticker change in a synced position</w:t>
      </w:r>
    </w:p>
    <w:p>
      <w:pPr>
        <w:pStyle w:val="CodeBlock"/>
      </w:pPr>
      <w:r>
        <w:t>Yesterday:</w:t>
        <w:br/>
        <w:t>provider_security_id = 12345</w:t>
        <w:br/>
        <w:t>symbol = XYZ</w:t>
        <w:br/>
        <w:br/>
        <w:t>Next sync:</w:t>
        <w:br/>
        <w:t>provider_security_id = 12345</w:t>
        <w:br/>
        <w:t>symbol = ABC</w:t>
        <w:br/>
        <w:br/>
        <w:t>Result:</w:t>
        <w:br/>
        <w:t>- same provider security/position is recognized</w:t>
        <w:br/>
        <w:t>- Asset.market_symbol becomes ABC</w:t>
        <w:br/>
        <w:t>- Holding remains the user's holding</w:t>
        <w:br/>
        <w:t>- future market-data lookups use ABC</w:t>
        <w:br/>
        <w:t>- old XYZ cache naturally expires</w:t>
        <w:br/>
        <w:t>- no global ticker-change job is required</w:t>
      </w:r>
    </w:p>
    <w:p>
      <w:r>
        <w:t>The brokerage integration is authoritative for the existence and identity of a synced holding. Market data is enrichment only. If market data for ABC is unavailable, the holding still renders using provider/manual fallback data where available.</w:t>
      </w:r>
    </w:p>
    <w:p>
      <w:pPr>
        <w:pStyle w:val="Heading1"/>
      </w:pPr>
      <w:r>
        <w:t>9. Manually Added Market-Linked Security Lifecycle</w:t>
      </w:r>
    </w:p>
    <w:p>
      <w:pPr>
        <w:pStyle w:val="CodeBlock"/>
      </w:pPr>
      <w:r>
        <w:t>1. User chooses Add Asset -&gt; public security.</w:t>
        <w:br/>
        <w:t>2. Search is performed against the market-data provider on demand.</w:t>
        <w:br/>
        <w:t>3. User selects a result.</w:t>
        <w:br/>
        <w:t>4. Create portfolio-scoped Asset with:</w:t>
        <w:br/>
        <w:t xml:space="preserve">   - name</w:t>
        <w:br/>
        <w:t xml:space="preserve">   - AssetType</w:t>
        <w:br/>
        <w:t xml:space="preserve">   - symbol/exchange/currency</w:t>
        <w:br/>
        <w:t xml:space="preserve">   - market_linked = true</w:t>
        <w:br/>
        <w:t xml:space="preserve">   - small identity fingerprint when available</w:t>
        <w:br/>
        <w:t>5. Create MANUAL Holding in chosen Group or SYSTEM Ungrouped.</w:t>
        <w:br/>
        <w:t>6. User enters quantity and optional average cost.</w:t>
        <w:br/>
        <w:t>7. MarketDataService uses symbol/exchange to obtain cached price/dividend data.</w:t>
        <w:br/>
        <w:t>8. Yield/valuation are calculated from ownership + market data.</w:t>
      </w:r>
    </w:p>
    <w:p>
      <w:pPr>
        <w:pStyle w:val="Heading2"/>
      </w:pPr>
      <w:r>
        <w:t>9.1 Ticker reuse / identity mismatch</w:t>
      </w:r>
    </w:p>
    <w:p>
      <w:r>
        <w:t>A manual security cannot rely on ticker alone forever because a ticker can disappear and later be reused by a different issuer. When the user originally selects the security, save a small identity fingerprint on that Asset (for example exchange/currency/name and stable identifiers when available). When refreshed market data materially conflicts with that fingerprint, do not silently relink.</w:t>
      </w:r>
    </w:p>
    <w:p>
      <w:pPr>
        <w:pStyle w:val="CodeBlock"/>
      </w:pPr>
      <w:r>
        <w:t>Manual Asset originally:</w:t>
        <w:br/>
        <w:t>symbol = XYZ</w:t>
        <w:br/>
        <w:t>exchange = X</w:t>
        <w:br/>
        <w:t>identity fingerprint = issuer A</w:t>
        <w:br/>
        <w:br/>
        <w:t>Later market lookup:</w:t>
        <w:br/>
        <w:t>symbol = XYZ</w:t>
        <w:br/>
        <w:t>exchange = X</w:t>
        <w:br/>
        <w:t>identity fingerprint = issuer B</w:t>
        <w:br/>
        <w:br/>
        <w:t>Result:</w:t>
        <w:br/>
        <w:t>- keep Asset/Holding unchanged</w:t>
        <w:br/>
        <w:t>- mark market enrichment as NEEDS_RELINK / UNAVAILABLE</w:t>
        <w:br/>
        <w:t>- do not use issuer B's price/dividends</w:t>
        <w:br/>
        <w:t>- prompt user to search and relink or keep the asset fully manual</w:t>
      </w:r>
    </w:p>
    <w:p>
      <w:pPr>
        <w:pStyle w:val="Heading1"/>
      </w:pPr>
      <w:r>
        <w:t>10. Market Data and Cache Boundary</w:t>
      </w:r>
    </w:p>
    <w:p>
      <w:r>
        <w:t>The database should not be the market-data store for the POC. Current quotes, public dividend history, and profile enrichment are replaceable external data. They should be requested through a MarketDataService and cached under shared market keys.</w:t>
      </w:r>
    </w:p>
    <w:p>
      <w:pPr>
        <w:pStyle w:val="CodeBlock"/>
      </w:pPr>
      <w:r>
        <w:t>Holding/Asset</w:t>
        <w:br/>
        <w:t xml:space="preserve">    |</w:t>
        <w:br/>
        <w:t xml:space="preserve">    v</w:t>
        <w:br/>
        <w:t>MarketDataService</w:t>
        <w:br/>
        <w:t xml:space="preserve">    |</w:t>
        <w:br/>
        <w:t xml:space="preserve">    +-- cache HIT  -&gt; return</w:t>
        <w:br/>
        <w:t xml:space="preserve">    |</w:t>
        <w:br/>
        <w:t xml:space="preserve">    +-- cache MISS/stale</w:t>
        <w:br/>
        <w:t xml:space="preserve">            |</w:t>
        <w:br/>
        <w:t xml:space="preserve">            v</w:t>
        <w:br/>
        <w:t xml:space="preserve">      Market-data provider</w:t>
        <w:br/>
        <w:t xml:space="preserve">            |</w:t>
        <w:br/>
        <w:t xml:space="preserve">            v</w:t>
        <w:br/>
        <w:t xml:space="preserve">          cache</w:t>
        <w:br/>
        <w:t xml:space="preserve">            |</w:t>
        <w:br/>
        <w:t xml:space="preserve">            v</w:t>
        <w:br/>
        <w:t xml:space="preserve">          return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312"/>
            <w:shd w:fill="D9EAF7"/>
            <w:vAlign w:val="center"/>
          </w:tcPr>
          <w:p>
            <w:r>
              <w:rPr>
                <w:b/>
              </w:rPr>
              <w:t>Data</w:t>
            </w:r>
          </w:p>
        </w:tc>
        <w:tc>
          <w:tcPr>
            <w:tcW w:type="dxa" w:w="1872"/>
            <w:shd w:fill="D9EAF7"/>
            <w:vAlign w:val="center"/>
          </w:tcPr>
          <w:p>
            <w:r>
              <w:rPr>
                <w:b/>
              </w:rPr>
              <w:t>Permanent DB?</w:t>
            </w:r>
          </w:p>
        </w:tc>
        <w:tc>
          <w:tcPr>
            <w:tcW w:type="dxa" w:w="1584"/>
            <w:shd w:fill="D9EAF7"/>
            <w:vAlign w:val="center"/>
          </w:tcPr>
          <w:p>
            <w:r>
              <w:rPr>
                <w:b/>
              </w:rPr>
              <w:t>Cache?</w:t>
            </w:r>
          </w:p>
        </w:tc>
        <w:tc>
          <w:tcPr>
            <w:tcW w:type="dxa" w:w="4320"/>
            <w:shd w:fill="D9EAF7"/>
            <w:vAlign w:val="center"/>
          </w:tcPr>
          <w:p>
            <w:r>
              <w:rPr>
                <w:b/>
              </w:rPr>
              <w:t>Reason</w:t>
            </w:r>
          </w:p>
        </w:tc>
      </w:tr>
      <w:tr>
        <w:tc>
          <w:tcPr>
            <w:tcW w:type="dxa" w:w="3312"/>
            <w:vAlign w:val="top"/>
          </w:tcPr>
          <w:p>
            <w:r>
              <w:t>Quantity / average cost</w:t>
            </w:r>
          </w:p>
        </w:tc>
        <w:tc>
          <w:tcPr>
            <w:tcW w:type="dxa" w:w="1872"/>
            <w:vAlign w:val="top"/>
          </w:tcPr>
          <w:p>
            <w:r>
              <w:t>Yes</w:t>
            </w:r>
          </w:p>
        </w:tc>
        <w:tc>
          <w:tcPr>
            <w:tcW w:type="dxa" w:w="1584"/>
            <w:vAlign w:val="top"/>
          </w:tcPr>
          <w:p>
            <w:r>
              <w:t>No</w:t>
            </w:r>
          </w:p>
        </w:tc>
        <w:tc>
          <w:tcPr>
            <w:tcW w:type="dxa" w:w="4320"/>
            <w:vAlign w:val="top"/>
          </w:tcPr>
          <w:p>
            <w:r>
              <w:t>User-specific ownership state</w:t>
            </w:r>
          </w:p>
        </w:tc>
      </w:tr>
      <w:tr>
        <w:tc>
          <w:tcPr>
            <w:tcW w:type="dxa" w:w="3312"/>
            <w:vAlign w:val="top"/>
          </w:tcPr>
          <w:p>
            <w:r>
              <w:t>Provider position/security IDs</w:t>
            </w:r>
          </w:p>
        </w:tc>
        <w:tc>
          <w:tcPr>
            <w:tcW w:type="dxa" w:w="1872"/>
            <w:vAlign w:val="top"/>
          </w:tcPr>
          <w:p>
            <w:r>
              <w:t>Yes</w:t>
            </w:r>
          </w:p>
        </w:tc>
        <w:tc>
          <w:tcPr>
            <w:tcW w:type="dxa" w:w="1584"/>
            <w:vAlign w:val="top"/>
          </w:tcPr>
          <w:p>
            <w:r>
              <w:t>No</w:t>
            </w:r>
          </w:p>
        </w:tc>
        <w:tc>
          <w:tcPr>
            <w:tcW w:type="dxa" w:w="4320"/>
            <w:vAlign w:val="top"/>
          </w:tcPr>
          <w:p>
            <w:r>
              <w:t>Required to reconcile syncs</w:t>
            </w:r>
          </w:p>
        </w:tc>
      </w:tr>
      <w:tr>
        <w:tc>
          <w:tcPr>
            <w:tcW w:type="dxa" w:w="3312"/>
            <w:vAlign w:val="top"/>
          </w:tcPr>
          <w:p>
            <w:r>
              <w:t>Manual asset value</w:t>
            </w:r>
          </w:p>
        </w:tc>
        <w:tc>
          <w:tcPr>
            <w:tcW w:type="dxa" w:w="1872"/>
            <w:vAlign w:val="top"/>
          </w:tcPr>
          <w:p>
            <w:r>
              <w:t>Yes</w:t>
            </w:r>
          </w:p>
        </w:tc>
        <w:tc>
          <w:tcPr>
            <w:tcW w:type="dxa" w:w="1584"/>
            <w:vAlign w:val="top"/>
          </w:tcPr>
          <w:p>
            <w:r>
              <w:t>Optional</w:t>
            </w:r>
          </w:p>
        </w:tc>
        <w:tc>
          <w:tcPr>
            <w:tcW w:type="dxa" w:w="4320"/>
            <w:vAlign w:val="top"/>
          </w:tcPr>
          <w:p>
            <w:r>
              <w:t>User-entered source of truth</w:t>
            </w:r>
          </w:p>
        </w:tc>
      </w:tr>
      <w:tr>
        <w:tc>
          <w:tcPr>
            <w:tcW w:type="dxa" w:w="3312"/>
            <w:vAlign w:val="top"/>
          </w:tcPr>
          <w:p>
            <w:r>
              <w:t>Current public quote</w:t>
            </w:r>
          </w:p>
        </w:tc>
        <w:tc>
          <w:tcPr>
            <w:tcW w:type="dxa" w:w="1872"/>
            <w:vAlign w:val="top"/>
          </w:tcPr>
          <w:p>
            <w:r>
              <w:t>Normally no</w:t>
            </w:r>
          </w:p>
        </w:tc>
        <w:tc>
          <w:tcPr>
            <w:tcW w:type="dxa" w:w="1584"/>
            <w:vAlign w:val="top"/>
          </w:tcPr>
          <w:p>
            <w:r>
              <w:t>Yes</w:t>
            </w:r>
          </w:p>
        </w:tc>
        <w:tc>
          <w:tcPr>
            <w:tcW w:type="dxa" w:w="4320"/>
            <w:vAlign w:val="top"/>
          </w:tcPr>
          <w:p>
            <w:r>
              <w:t>Replaceable and frequently changing</w:t>
            </w:r>
          </w:p>
        </w:tc>
      </w:tr>
      <w:tr>
        <w:tc>
          <w:tcPr>
            <w:tcW w:type="dxa" w:w="3312"/>
            <w:vAlign w:val="top"/>
          </w:tcPr>
          <w:p>
            <w:r>
              <w:t>Public dividend schedule/history</w:t>
            </w:r>
          </w:p>
        </w:tc>
        <w:tc>
          <w:tcPr>
            <w:tcW w:type="dxa" w:w="1872"/>
            <w:vAlign w:val="top"/>
          </w:tcPr>
          <w:p>
            <w:r>
              <w:t>Normally no</w:t>
            </w:r>
          </w:p>
        </w:tc>
        <w:tc>
          <w:tcPr>
            <w:tcW w:type="dxa" w:w="1584"/>
            <w:vAlign w:val="top"/>
          </w:tcPr>
          <w:p>
            <w:r>
              <w:t>Yes</w:t>
            </w:r>
          </w:p>
        </w:tc>
        <w:tc>
          <w:tcPr>
            <w:tcW w:type="dxa" w:w="4320"/>
            <w:vAlign w:val="top"/>
          </w:tcPr>
          <w:p>
            <w:r>
              <w:t>Shared market enrichment</w:t>
            </w:r>
          </w:p>
        </w:tc>
      </w:tr>
      <w:tr>
        <w:tc>
          <w:tcPr>
            <w:tcW w:type="dxa" w:w="3312"/>
            <w:vAlign w:val="top"/>
          </w:tcPr>
          <w:p>
            <w:r>
              <w:t>Actual dividend received</w:t>
            </w:r>
          </w:p>
        </w:tc>
        <w:tc>
          <w:tcPr>
            <w:tcW w:type="dxa" w:w="1872"/>
            <w:vAlign w:val="top"/>
          </w:tcPr>
          <w:p>
            <w:r>
              <w:t>Eventually yes</w:t>
            </w:r>
          </w:p>
        </w:tc>
        <w:tc>
          <w:tcPr>
            <w:tcW w:type="dxa" w:w="1584"/>
            <w:vAlign w:val="top"/>
          </w:tcPr>
          <w:p>
            <w:r>
              <w:t>No</w:t>
            </w:r>
          </w:p>
        </w:tc>
        <w:tc>
          <w:tcPr>
            <w:tcW w:type="dxa" w:w="4320"/>
            <w:vAlign w:val="top"/>
          </w:tcPr>
          <w:p>
            <w:r>
              <w:t>User financial history/transaction</w:t>
            </w:r>
          </w:p>
        </w:tc>
      </w:tr>
      <w:tr>
        <w:tc>
          <w:tcPr>
            <w:tcW w:type="dxa" w:w="3312"/>
            <w:vAlign w:val="top"/>
          </w:tcPr>
          <w:p>
            <w:r>
              <w:t>Theme totals/yield</w:t>
            </w:r>
          </w:p>
        </w:tc>
        <w:tc>
          <w:tcPr>
            <w:tcW w:type="dxa" w:w="1872"/>
            <w:vAlign w:val="top"/>
          </w:tcPr>
          <w:p>
            <w:r>
              <w:t>Derived</w:t>
            </w:r>
          </w:p>
        </w:tc>
        <w:tc>
          <w:tcPr>
            <w:tcW w:type="dxa" w:w="1584"/>
            <w:vAlign w:val="top"/>
          </w:tcPr>
          <w:p>
            <w:r>
              <w:t>Optional</w:t>
            </w:r>
          </w:p>
        </w:tc>
        <w:tc>
          <w:tcPr>
            <w:tcW w:type="dxa" w:w="4320"/>
            <w:vAlign w:val="top"/>
          </w:tcPr>
          <w:p>
            <w:r>
              <w:t>Can be recalculated from holdings</w:t>
            </w:r>
          </w:p>
        </w:tc>
      </w:tr>
      <w:tr>
        <w:tc>
          <w:tcPr>
            <w:tcW w:type="dxa" w:w="3312"/>
            <w:vAlign w:val="top"/>
          </w:tcPr>
          <w:p>
            <w:r>
              <w:t>Historical snapshots</w:t>
            </w:r>
          </w:p>
        </w:tc>
        <w:tc>
          <w:tcPr>
            <w:tcW w:type="dxa" w:w="1872"/>
            <w:vAlign w:val="top"/>
          </w:tcPr>
          <w:p>
            <w:r>
              <w:t>Yes when performance is implemented</w:t>
            </w:r>
          </w:p>
        </w:tc>
        <w:tc>
          <w:tcPr>
            <w:tcW w:type="dxa" w:w="1584"/>
            <w:vAlign w:val="top"/>
          </w:tcPr>
          <w:p>
            <w:r>
              <w:t>No</w:t>
            </w:r>
          </w:p>
        </w:tc>
        <w:tc>
          <w:tcPr>
            <w:tcW w:type="dxa" w:w="4320"/>
            <w:vAlign w:val="top"/>
          </w:tcPr>
          <w:p>
            <w:r>
              <w:t>Needed for history</w:t>
            </w:r>
          </w:p>
        </w:tc>
      </w:tr>
    </w:tbl>
    <w:p/>
    <w:p>
      <w:pPr>
        <w:pStyle w:val="Heading1"/>
      </w:pPr>
      <w:r>
        <w:t>11. Valuation Model</w:t>
      </w:r>
    </w:p>
    <w:p>
      <w:r>
        <w:t>Valuation should be resolved by a service rather than hard-coded into each asset type. Different assets can have different sources.</w:t>
      </w:r>
    </w:p>
    <w:p>
      <w:pPr>
        <w:pStyle w:val="CodeBlock"/>
      </w:pPr>
      <w:r>
        <w:t>ValuationService.get_value(holding)</w:t>
        <w:br/>
        <w:br/>
        <w:t>Preferred source by situation:</w:t>
        <w:br/>
        <w:t>- market-linked public security -&gt; cached market price * quantity</w:t>
        <w:br/>
        <w:t>- synced unsupported security -&gt; provider-reported value if available</w:t>
        <w:br/>
        <w:t>- manual real estate/car/collectible -&gt; manual_value</w:t>
        <w:br/>
        <w:t>- unavailable market link -&gt; provider/manual fallback, otherwise 'value unavailable'</w:t>
      </w:r>
    </w:p>
    <w:p>
      <w:r>
        <w:t>Never delete or zero a Holding merely because external market data is unavailable. “Unknown/unavailable” is different from zero.</w:t>
      </w:r>
    </w:p>
    <w:p>
      <w:pPr>
        <w:pStyle w:val="Heading1"/>
      </w:pPr>
      <w:r>
        <w:t>12. Income, Dividends, Cash Flow, and Yield</w:t>
      </w:r>
    </w:p>
    <w:p>
      <w:r>
        <w:t>Income is first-class in the POC. Use an IncomeSource abstraction so stocks, rent, interest, staking, royalties, and arbitrary income-producing assets can share one analytical model. Yield itself is a calculation, not the underlying fact.</w:t>
      </w:r>
    </w:p>
    <w:p>
      <w:pPr>
        <w:pStyle w:val="CodeBlock"/>
      </w:pPr>
      <w:r>
        <w:t>IncomeSource</w:t>
        <w:br/>
        <w:t>- id</w:t>
        <w:br/>
        <w:t>- asset_id or holding_id (choose ownership-aware attachment for POC)</w:t>
        <w:br/>
        <w:t>- income_type: DIVIDEND | INTEREST | RENT | ROYALTY | STAKING | OTHER</w:t>
        <w:br/>
        <w:t>- source: MARKET | SYNCED | MANUAL</w:t>
        <w:br/>
        <w:t>- annual_amount: nullable</w:t>
        <w:br/>
        <w:t>- amount_per_unit: nullable</w:t>
        <w:br/>
        <w:t>- frequency: nullable</w:t>
        <w:br/>
        <w:t>- currency</w:t>
        <w:br/>
        <w:t>- metadata</w:t>
        <w:br/>
        <w:t>- updated_at</w:t>
      </w:r>
    </w:p>
    <w:p>
      <w:r>
        <w:t>For public stocks, expected dividend data comes from cached market data and is combined with Holding.quantity. For a rental property, the user can enter monthly/annual rent. For an asset with no income source, current income is zero.</w:t>
      </w:r>
    </w:p>
    <w:p>
      <w:pPr>
        <w:pStyle w:val="CodeBlock"/>
      </w:pPr>
      <w:r>
        <w:t>Expected annual income = sum(normalized annual income from each IncomeSource)</w:t>
        <w:br/>
        <w:br/>
        <w:t>Current yield = expected annual income / current market value</w:t>
        <w:br/>
        <w:br/>
        <w:t>Yield on cost = expected annual income / cost basis</w:t>
        <w:br/>
        <w:br/>
        <w:t>Theme yield = total expected income of included holdings / total current value of included holdings</w:t>
      </w:r>
    </w:p>
    <w:p>
      <w:r>
        <w:t>Actual cash received is conceptually different from expected income. When brokerage transactions are added later, actual dividend/interest payments should be persisted as user financial history rather than reconstructed forever from public market data.</w:t>
      </w:r>
    </w:p>
    <w:p>
      <w:pPr>
        <w:pStyle w:val="Heading1"/>
      </w:pPr>
      <w:r>
        <w:t>13. Themes and Subthemes</w:t>
      </w:r>
    </w:p>
    <w:p>
      <w:r>
        <w:t>Themes are optional analytical classifications. They are not part of the ownership hierarchy. A user who only wants consolidated portfolio tracking never needs to create one.</w:t>
      </w:r>
    </w:p>
    <w:p>
      <w:pPr>
        <w:pStyle w:val="CodeBlock"/>
      </w:pPr>
      <w:r>
        <w:t>Theme</w:t>
        <w:br/>
        <w:t>- id</w:t>
        <w:br/>
        <w:t>- portfolio_id</w:t>
        <w:br/>
        <w:t>- name</w:t>
        <w:br/>
        <w:t>- parent_theme_id: nullable</w:t>
        <w:br/>
        <w:t>- target_type: NONE | PORTFOLIO_PERCENT | NET_WORTH_PERCENT | FIXED_VALUE</w:t>
        <w:br/>
        <w:t>- target_value: nullable</w:t>
        <w:br/>
        <w:br/>
        <w:t>ThemeAssignment</w:t>
        <w:br/>
        <w:t>- theme_id</w:t>
        <w:br/>
        <w:t>- holding_id</w:t>
        <w:br/>
        <w:t>- allocation_weight: default 1.0 (future/optional for POC)</w:t>
      </w:r>
    </w:p>
    <w:p>
      <w:r>
        <w:t>Themes attach to Holdings rather than globally to Assets so the same security held in different Groups can be classified differently. The parent_theme relationship supports subthemes such as AI -&gt; Semiconductors / Data Centers / Power.</w:t>
      </w:r>
    </w:p>
    <w:p>
      <w:pPr>
        <w:pStyle w:val="CodeBlock"/>
      </w:pPr>
      <w:r>
        <w:t>Theme: Gold</w:t>
        <w:br/>
        <w:t xml:space="preserve">  |</w:t>
        <w:br/>
        <w:t xml:space="preserve">  +-- Holding: Physical Gold Bar (Group: Home Safe)</w:t>
        <w:br/>
        <w:t xml:space="preserve">  +-- Holding: Barrick shares   (Group: IBKR)</w:t>
        <w:br/>
        <w:t xml:space="preserve">  +-- Holding: Gold ETF         (Group: Wealthsimple)</w:t>
        <w:br/>
        <w:t xml:space="preserve">  +-- Holding: Necklace         (Group: Ungrouped)</w:t>
        <w:br/>
        <w:br/>
        <w:t>Theme totals ignore where the assets are stored and aggregate the assigned holdings.</w:t>
      </w:r>
    </w:p>
    <w:p>
      <w:pPr>
        <w:pStyle w:val="Heading1"/>
      </w:pPr>
      <w:r>
        <w:t>14. Theme Sheet and Other Sheets</w:t>
      </w:r>
    </w:p>
    <w:p>
      <w:r>
        <w:t>A Sheet is best treated initially as a product/UI analysis surface, not as a second ownership model. The Theme Sheet is the place where users create themes, assign holdings, inspect unassigned holdings, set targets, and view theme analytics.</w:t>
      </w:r>
    </w:p>
    <w:p>
      <w:pPr>
        <w:pStyle w:val="CodeBlock"/>
      </w:pPr>
      <w:r>
        <w:t>THEME SHEET</w:t>
        <w:br/>
        <w:br/>
        <w:t>Portfolio investments: $850,000</w:t>
        <w:br/>
        <w:br/>
        <w:t>AI             $210,000   24.7%   target 25.0%</w:t>
        <w:br/>
        <w:t>Energy         $150,000   17.6%</w:t>
        <w:br/>
        <w:t>Gold            $85,000   10.0%</w:t>
        <w:br/>
        <w:t>Unassigned     $405,000   47.7%</w:t>
        <w:br/>
        <w:br/>
        <w:t>[Create Theme] [Assign Assets] [Show Unassigned]</w:t>
      </w:r>
    </w:p>
    <w:p>
      <w:r>
        <w:t>A permanent Cash Flow Sheet can aggregate all IncomeSources without requiring themes. Other future sheets can include Performance, Allocation, Dividends, Tax, Geography, and Currency Exposure.</w:t>
      </w:r>
    </w:p>
    <w:p>
      <w:pPr>
        <w:pStyle w:val="Heading1"/>
      </w:pPr>
      <w:r>
        <w:t>15. Wireframes</w:t>
      </w:r>
    </w:p>
    <w:p>
      <w:pPr>
        <w:pStyle w:val="Heading2"/>
      </w:pPr>
      <w:r>
        <w:t>15.1 Portfolio overview</w:t>
      </w:r>
    </w:p>
    <w:p>
      <w:pPr>
        <w:pStyle w:val="CodeBlock"/>
      </w:pPr>
      <w:r>
        <w:t>MY PORTFOLIO                                      $1,420,000</w:t>
        <w:br/>
        <w:t>================================================================</w:t>
        <w:br/>
        <w:br/>
        <w:t>GROUPS</w:t>
        <w:br/>
        <w:t>Interactive Brokers [Synced]                         $300,000</w:t>
        <w:br/>
        <w:t>Wealthsimple [Synced]                                $150,000</w:t>
        <w:br/>
        <w:t>Real Estate [Manual]                                 $750,000</w:t>
        <w:br/>
        <w:t>Pokemon Cards [Manual]                                $30,000</w:t>
        <w:br/>
        <w:t>Cars [Manual]                                         $90,000</w:t>
        <w:br/>
        <w:br/>
        <w:t>UNGROUPED / OTHER                                     $100,000</w:t>
        <w:br/>
        <w:br/>
        <w:t>----------------------------------------------------------------</w:t>
        <w:br/>
        <w:t>BY ASSET TYPE</w:t>
        <w:br/>
        <w:t>Stocks                                                $400,000</w:t>
        <w:br/>
        <w:t>Real Estate                                           $750,000</w:t>
        <w:br/>
        <w:t>Vehicles                                               $90,000</w:t>
        <w:br/>
        <w:t>Collectibles                                           $30,000</w:t>
        <w:br/>
        <w:t>Precious Metals                                        $50,000</w:t>
        <w:br/>
        <w:t>Other                                                 $100,000</w:t>
        <w:br/>
        <w:br/>
        <w:t>[+ Add Asset]   [+ Add Group]   [Connect Brokerage]</w:t>
      </w:r>
    </w:p>
    <w:p>
      <w:pPr>
        <w:pStyle w:val="Heading2"/>
      </w:pPr>
      <w:r>
        <w:t>15.2 Manual asset creation</w:t>
      </w:r>
    </w:p>
    <w:p>
      <w:pPr>
        <w:pStyle w:val="CodeBlock"/>
      </w:pPr>
      <w:r>
        <w:t>ADD ASSET</w:t>
        <w:br/>
        <w:br/>
        <w:t>Name                 [ Gold Bar                    ]</w:t>
        <w:br/>
        <w:t>Asset Type           [ Precious Metal          v  ]</w:t>
        <w:br/>
        <w:t>Group                [ Home Safe / Ungrouped   v  ]</w:t>
        <w:br/>
        <w:t>Quantity             [ 10                          ]</w:t>
        <w:br/>
        <w:t>Unit / metadata      [ oz                          ]</w:t>
        <w:br/>
        <w:t>Valuation method     [ Manual                  v  ]</w:t>
        <w:br/>
        <w:t>Current value        [ $32,000                     ]</w:t>
        <w:br/>
        <w:br/>
        <w:t>Income-producing?    [ ] Yes</w:t>
        <w:br/>
        <w:br/>
        <w:t xml:space="preserve">                                      [Cancel] [Save]</w:t>
      </w:r>
    </w:p>
    <w:p>
      <w:pPr>
        <w:pStyle w:val="Heading2"/>
      </w:pPr>
      <w:r>
        <w:t>15.3 Synced brokerage group</w:t>
      </w:r>
    </w:p>
    <w:p>
      <w:pPr>
        <w:pStyle w:val="CodeBlock"/>
      </w:pPr>
      <w:r>
        <w:t>INTERACTIVE BROKERS                              [SYNCED]</w:t>
        <w:br/>
        <w:t>Last synced: 10:42 AM                           [Refresh]</w:t>
        <w:br/>
        <w:br/>
        <w:t>AAPL     100 shares   Avg cost $175.20    $23,000</w:t>
        <w:br/>
        <w:t>NVDA      40 shares   Avg cost $118.00     $7,200</w:t>
        <w:br/>
        <w:t>ABC       25 shares   Avg cost unavailable  $1,100</w:t>
        <w:br/>
        <w:br/>
        <w:t>Provider-owned fields are read-only.</w:t>
        <w:br/>
        <w:t>User may edit: themes, notes, labels, analytical metadata.</w:t>
      </w:r>
    </w:p>
    <w:p>
      <w:pPr>
        <w:pStyle w:val="Heading2"/>
      </w:pPr>
      <w:r>
        <w:t>15.4 Theme Sheet</w:t>
      </w:r>
    </w:p>
    <w:p>
      <w:pPr>
        <w:pStyle w:val="CodeBlock"/>
      </w:pPr>
      <w:r>
        <w:t>THEMES</w:t>
        <w:br/>
        <w:br/>
        <w:t>AI                                     $210,000 | 24.7%</w:t>
        <w:br/>
        <w:t xml:space="preserve">  Semiconductors                        $120,000</w:t>
        <w:br/>
        <w:t xml:space="preserve">  Data Centers                           $50,000</w:t>
        <w:br/>
        <w:t xml:space="preserve">  Power                                  $40,000</w:t>
        <w:br/>
        <w:br/>
        <w:t>Gold                                    $85,000 | 10.0%</w:t>
        <w:br/>
        <w:t>Energy                                 $150,000 | 17.6%</w:t>
        <w:br/>
        <w:t>Unassigned                             $405,000 | 47.7%</w:t>
        <w:br/>
        <w:br/>
        <w:t>[+ Theme] [Assign Holdings] [Targets]</w:t>
        <w:br/>
        <w:br/>
        <w:t>Selected: AI</w:t>
        <w:br/>
        <w:t>Value              $210,000</w:t>
        <w:br/>
        <w:t>Cost basis         $145,000</w:t>
        <w:br/>
        <w:t>Gain/Loss           $65,000</w:t>
        <w:br/>
        <w:t>Expected income      $1,850</w:t>
        <w:br/>
        <w:t>Current yield          0.88%</w:t>
        <w:br/>
        <w:t>Target                 25.0%</w:t>
        <w:br/>
        <w:t>Gap                    -0.3%</w:t>
      </w:r>
    </w:p>
    <w:p>
      <w:pPr>
        <w:pStyle w:val="Heading2"/>
      </w:pPr>
      <w:r>
        <w:t>15.5 Cash Flow Sheet</w:t>
      </w:r>
    </w:p>
    <w:p>
      <w:pPr>
        <w:pStyle w:val="CodeBlock"/>
      </w:pPr>
      <w:r>
        <w:t>CASH FLOW</w:t>
        <w:br/>
        <w:br/>
        <w:t>Expected annual income                              $74,500</w:t>
        <w:br/>
        <w:t>Expected monthly average                             $6,208</w:t>
        <w:br/>
        <w:t>Portfolio current yield                                3.8%</w:t>
        <w:br/>
        <w:br/>
        <w:t>BY SOURCE</w:t>
        <w:br/>
        <w:t>Dividends                                            $32,000</w:t>
        <w:br/>
        <w:t>Rent                                                 $30,000</w:t>
        <w:br/>
        <w:t>Interest                                              $8,500</w:t>
        <w:br/>
        <w:t>Other                                                 $4,000</w:t>
        <w:br/>
        <w:br/>
        <w:t>UPCOMING / EXPECTED</w:t>
        <w:br/>
        <w:t>Aug   AAPL dividend       $260</w:t>
        <w:br/>
        <w:t>Aug   ENB dividend      $1,250</w:t>
        <w:br/>
        <w:t>Aug   Rental income     $2,500</w:t>
        <w:br/>
        <w:t>Sep   ...</w:t>
      </w:r>
    </w:p>
    <w:p>
      <w:pPr>
        <w:pStyle w:val="Heading1"/>
      </w:pPr>
      <w:r>
        <w:t>16. Core Backend Services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Pr>
          <w:p>
            <w:r>
              <w:rPr>
                <w:b/>
              </w:rPr>
              <w:t>Service</w:t>
            </w:r>
          </w:p>
        </w:tc>
        <w:tc>
          <w:tcPr>
            <w:tcW w:type="dxa" w:w="7200"/>
            <w:shd w:fill="D9EAF7"/>
            <w:vAlign w:val="center"/>
          </w:tcPr>
          <w:p>
            <w:r>
              <w:rPr>
                <w:b/>
              </w:rPr>
              <w:t>Responsibility</w:t>
            </w:r>
          </w:p>
        </w:tc>
      </w:tr>
      <w:tr>
        <w:tc>
          <w:tcPr>
            <w:tcW w:type="dxa" w:w="2880"/>
            <w:vAlign w:val="top"/>
          </w:tcPr>
          <w:p>
            <w:r>
              <w:t>PortfolioService</w:t>
            </w:r>
          </w:p>
        </w:tc>
        <w:tc>
          <w:tcPr>
            <w:tcW w:type="dxa" w:w="7200"/>
            <w:vAlign w:val="top"/>
          </w:tcPr>
          <w:p>
            <w:r>
              <w:t>Portfolio creation, default/system Group creation, ownership boundaries.</w:t>
            </w:r>
          </w:p>
        </w:tc>
      </w:tr>
      <w:tr>
        <w:tc>
          <w:tcPr>
            <w:tcW w:type="dxa" w:w="2880"/>
            <w:vAlign w:val="top"/>
          </w:tcPr>
          <w:p>
            <w:r>
              <w:t>GroupService</w:t>
            </w:r>
          </w:p>
        </w:tc>
        <w:tc>
          <w:tcPr>
            <w:tcW w:type="dxa" w:w="7200"/>
            <w:vAlign w:val="top"/>
          </w:tcPr>
          <w:p>
            <w:r>
              <w:t>Manual group CRUD, move manual holdings, enforce group mode rules.</w:t>
            </w:r>
          </w:p>
        </w:tc>
      </w:tr>
      <w:tr>
        <w:tc>
          <w:tcPr>
            <w:tcW w:type="dxa" w:w="2880"/>
            <w:vAlign w:val="top"/>
          </w:tcPr>
          <w:p>
            <w:r>
              <w:t>AssetService</w:t>
            </w:r>
          </w:p>
        </w:tc>
        <w:tc>
          <w:tcPr>
            <w:tcW w:type="dxa" w:w="7200"/>
            <w:vAlign w:val="top"/>
          </w:tcPr>
          <w:p>
            <w:r>
              <w:t>Create/edit assets and custom asset types; market-link/relink workflow.</w:t>
            </w:r>
          </w:p>
        </w:tc>
      </w:tr>
      <w:tr>
        <w:tc>
          <w:tcPr>
            <w:tcW w:type="dxa" w:w="2880"/>
            <w:vAlign w:val="top"/>
          </w:tcPr>
          <w:p>
            <w:r>
              <w:t>HoldingService</w:t>
            </w:r>
          </w:p>
        </w:tc>
        <w:tc>
          <w:tcPr>
            <w:tcW w:type="dxa" w:w="7200"/>
            <w:vAlign w:val="top"/>
          </w:tcPr>
          <w:p>
            <w:r>
              <w:t>Ownership CRUD for manual holdings; duplicate warnings/merge operations.</w:t>
            </w:r>
          </w:p>
        </w:tc>
      </w:tr>
      <w:tr>
        <w:tc>
          <w:tcPr>
            <w:tcW w:type="dxa" w:w="2880"/>
            <w:vAlign w:val="top"/>
          </w:tcPr>
          <w:p>
            <w:r>
              <w:t>SyncService</w:t>
            </w:r>
          </w:p>
        </w:tc>
        <w:tc>
          <w:tcPr>
            <w:tcW w:type="dxa" w:w="7200"/>
            <w:vAlign w:val="top"/>
          </w:tcPr>
          <w:p>
            <w:r>
              <w:t>Reconcile brokerage accounts/positions into SYNCED Groups and Holdings.</w:t>
            </w:r>
          </w:p>
        </w:tc>
      </w:tr>
      <w:tr>
        <w:tc>
          <w:tcPr>
            <w:tcW w:type="dxa" w:w="2880"/>
            <w:vAlign w:val="top"/>
          </w:tcPr>
          <w:p>
            <w:r>
              <w:t>MarketDataService</w:t>
            </w:r>
          </w:p>
        </w:tc>
        <w:tc>
          <w:tcPr>
            <w:tcW w:type="dxa" w:w="7200"/>
            <w:vAlign w:val="top"/>
          </w:tcPr>
          <w:p>
            <w:r>
              <w:t>Search, quote, dividend/profile retrieval; cache-first provider boundary.</w:t>
            </w:r>
          </w:p>
        </w:tc>
      </w:tr>
      <w:tr>
        <w:tc>
          <w:tcPr>
            <w:tcW w:type="dxa" w:w="2880"/>
            <w:vAlign w:val="top"/>
          </w:tcPr>
          <w:p>
            <w:r>
              <w:t>ValuationService</w:t>
            </w:r>
          </w:p>
        </w:tc>
        <w:tc>
          <w:tcPr>
            <w:tcW w:type="dxa" w:w="7200"/>
            <w:vAlign w:val="top"/>
          </w:tcPr>
          <w:p>
            <w:r>
              <w:t>Resolve current value from market/provider/manual source.</w:t>
            </w:r>
          </w:p>
        </w:tc>
      </w:tr>
      <w:tr>
        <w:tc>
          <w:tcPr>
            <w:tcW w:type="dxa" w:w="2880"/>
            <w:vAlign w:val="top"/>
          </w:tcPr>
          <w:p>
            <w:r>
              <w:t>IncomeService</w:t>
            </w:r>
          </w:p>
        </w:tc>
        <w:tc>
          <w:tcPr>
            <w:tcW w:type="dxa" w:w="7200"/>
            <w:vAlign w:val="top"/>
          </w:tcPr>
          <w:p>
            <w:r>
              <w:t>Normalize expected income and calculate yield/yield-on-cost.</w:t>
            </w:r>
          </w:p>
        </w:tc>
      </w:tr>
      <w:tr>
        <w:tc>
          <w:tcPr>
            <w:tcW w:type="dxa" w:w="2880"/>
            <w:vAlign w:val="top"/>
          </w:tcPr>
          <w:p>
            <w:r>
              <w:t>ThemeService</w:t>
            </w:r>
          </w:p>
        </w:tc>
        <w:tc>
          <w:tcPr>
            <w:tcW w:type="dxa" w:w="7200"/>
            <w:vAlign w:val="top"/>
          </w:tcPr>
          <w:p>
            <w:r>
              <w:t>Theme tree, assignments, unassigned holdings, targets, rollups.</w:t>
            </w:r>
          </w:p>
        </w:tc>
      </w:tr>
      <w:tr>
        <w:tc>
          <w:tcPr>
            <w:tcW w:type="dxa" w:w="2880"/>
            <w:vAlign w:val="top"/>
          </w:tcPr>
          <w:p>
            <w:r>
              <w:t>AnalyticsService</w:t>
            </w:r>
          </w:p>
        </w:tc>
        <w:tc>
          <w:tcPr>
            <w:tcW w:type="dxa" w:w="7200"/>
            <w:vAlign w:val="top"/>
          </w:tcPr>
          <w:p>
            <w:r>
              <w:t>Portfolio/group/type/theme totals and derived metrics.</w:t>
            </w:r>
          </w:p>
        </w:tc>
      </w:tr>
    </w:tbl>
    <w:p/>
    <w:p>
      <w:pPr>
        <w:pStyle w:val="Heading1"/>
      </w:pPr>
      <w:r>
        <w:t>17. Recommended Django-Level Invariants</w:t>
      </w:r>
    </w:p>
    <w:p>
      <w:pPr>
        <w:pStyle w:val="ListNumber"/>
      </w:pPr>
      <w:r>
        <w:t>Every Group belongs to exactly one Portfolio.</w:t>
      </w:r>
    </w:p>
    <w:p>
      <w:pPr>
        <w:pStyle w:val="ListNumber"/>
      </w:pPr>
      <w:r>
        <w:t>Every Holding belongs to exactly one Group.</w:t>
      </w:r>
    </w:p>
    <w:p>
      <w:pPr>
        <w:pStyle w:val="ListNumber"/>
      </w:pPr>
      <w:r>
        <w:t>Every Asset belongs to exactly one Portfolio.</w:t>
      </w:r>
    </w:p>
    <w:p>
      <w:pPr>
        <w:pStyle w:val="ListNumber"/>
      </w:pPr>
      <w:r>
        <w:t>Holding.group.portfolio_id must equal Holding.asset.portfolio_id.</w:t>
      </w:r>
    </w:p>
    <w:p>
      <w:pPr>
        <w:pStyle w:val="ListNumber"/>
      </w:pPr>
      <w:r>
        <w:t>Every Portfolio has exactly one SYSTEM Ungrouped Group.</w:t>
      </w:r>
    </w:p>
    <w:p>
      <w:pPr>
        <w:pStyle w:val="ListNumber"/>
      </w:pPr>
      <w:r>
        <w:t>A SYNCED Group may contain only SYNCED Holdings controlled by its provider.</w:t>
      </w:r>
    </w:p>
    <w:p>
      <w:pPr>
        <w:pStyle w:val="ListNumber"/>
      </w:pPr>
      <w:r>
        <w:t>Users cannot manually add, remove, move, or alter provider-owned position fields in a SYNCED Group.</w:t>
      </w:r>
    </w:p>
    <w:p>
      <w:pPr>
        <w:pStyle w:val="ListNumber"/>
      </w:pPr>
      <w:r>
        <w:t>A MANUAL/SYSTEM Group may not accept a provider-controlled synced Holding through normal user actions.</w:t>
      </w:r>
    </w:p>
    <w:p>
      <w:pPr>
        <w:pStyle w:val="ListNumber"/>
      </w:pPr>
      <w:r>
        <w:t>Group mode is not converted in place. Create a new Group for a different mode.</w:t>
      </w:r>
    </w:p>
    <w:p>
      <w:pPr>
        <w:pStyle w:val="ListNumber"/>
      </w:pPr>
      <w:r>
        <w:t>Market-data failure never deletes an Asset or Holding.</w:t>
      </w:r>
    </w:p>
    <w:p>
      <w:pPr>
        <w:pStyle w:val="ListNumber"/>
      </w:pPr>
      <w:r>
        <w:t>Duplicate Holdings are permitted at the database layer.</w:t>
      </w:r>
    </w:p>
    <w:p>
      <w:pPr>
        <w:pStyle w:val="ListNumber"/>
      </w:pPr>
      <w:r>
        <w:t>Custom AssetTypes are scoped to the user (or later organization) and cannot collide across users in a way that leaks data.</w:t>
      </w:r>
    </w:p>
    <w:p>
      <w:pPr>
        <w:pStyle w:val="ListNumber"/>
      </w:pPr>
      <w:r>
        <w:t>Theme assignments must reference Holdings from the same Portfolio as the Theme.</w:t>
      </w:r>
    </w:p>
    <w:p>
      <w:pPr>
        <w:pStyle w:val="Heading1"/>
      </w:pPr>
      <w:r>
        <w:t>18. Suggested Django Model Skeleton</w:t>
      </w:r>
    </w:p>
    <w:p>
      <w:pPr>
        <w:pStyle w:val="CodeBlock"/>
      </w:pPr>
      <w:r>
        <w:t>class Portfolio(models.Model):</w:t>
        <w:br/>
        <w:t xml:space="preserve">    owner = models.ForeignKey(User, on_delete=models.CASCADE)</w:t>
        <w:br/>
        <w:t xml:space="preserve">    name = models.CharField(max_length=120)</w:t>
        <w:br/>
        <w:t xml:space="preserve">    base_currency = models.CharField(max_length=3)</w:t>
        <w:br/>
        <w:br/>
        <w:br/>
        <w:t>class Group(models.Model):</w:t>
        <w:br/>
        <w:t xml:space="preserve">    class Mode(models.TextChoices):</w:t>
        <w:br/>
        <w:t xml:space="preserve">        SYSTEM = "SYSTEM"</w:t>
        <w:br/>
        <w:t xml:space="preserve">        MANUAL = "MANUAL"</w:t>
        <w:br/>
        <w:t xml:space="preserve">        SYNCED = "SYNCED"</w:t>
        <w:br/>
        <w:br/>
        <w:t xml:space="preserve">    portfolio = models.ForeignKey(Portfolio, on_delete=models.CASCADE)</w:t>
        <w:br/>
        <w:t xml:space="preserve">    name = models.CharField(max_length=120)</w:t>
        <w:br/>
        <w:t xml:space="preserve">    mode = models.CharField(max_length=10, choices=Mode.choices)</w:t>
        <w:br/>
        <w:t xml:space="preserve">    provider = models.CharField(max_length=40, blank=True)</w:t>
        <w:br/>
        <w:t xml:space="preserve">    provider_account_id = models.CharField(max_length=255, blank=True)</w:t>
        <w:br/>
        <w:t xml:space="preserve">    provider_metadata = models.JSONField(default=dict, blank=True)</w:t>
        <w:br/>
        <w:br/>
        <w:br/>
        <w:t>class AssetType(models.Model):</w:t>
        <w:br/>
        <w:t xml:space="preserve">    owner = models.ForeignKey(User, null=True, blank=True, on_delete=models.CASCADE)</w:t>
        <w:br/>
        <w:t xml:space="preserve">    name = models.CharField(max_length=120)</w:t>
        <w:br/>
        <w:t xml:space="preserve">    system_category = models.CharField(max_length=40)</w:t>
        <w:br/>
        <w:br/>
        <w:br/>
        <w:t>class Asset(models.Model):</w:t>
        <w:br/>
        <w:t xml:space="preserve">    portfolio = models.ForeignKey(Portfolio, on_delete=models.CASCADE)</w:t>
        <w:br/>
        <w:t xml:space="preserve">    asset_type = models.ForeignKey(AssetType, on_delete=models.PROTECT)</w:t>
        <w:br/>
        <w:t xml:space="preserve">    name = models.CharField(max_length=255)</w:t>
        <w:br/>
        <w:t xml:space="preserve">    native_currency = models.CharField(max_length=3, blank=True)</w:t>
        <w:br/>
        <w:t xml:space="preserve">    market_linked = models.BooleanField(default=False)</w:t>
        <w:br/>
        <w:t xml:space="preserve">    market_symbol = models.CharField(max_length=64, blank=True)</w:t>
        <w:br/>
        <w:t xml:space="preserve">    market_exchange = models.CharField(max_length=64, blank=True)</w:t>
        <w:br/>
        <w:t xml:space="preserve">    market_identity = models.JSONField(default=dict, blank=True)</w:t>
        <w:br/>
        <w:t xml:space="preserve">    metadata = models.JSONField(default=dict, blank=True)</w:t>
        <w:br/>
        <w:br/>
        <w:br/>
        <w:t>class Holding(models.Model):</w:t>
        <w:br/>
        <w:t xml:space="preserve">    group = models.ForeignKey(Group, on_delete=models.PROTECT)</w:t>
        <w:br/>
        <w:t xml:space="preserve">    asset = models.ForeignKey(Asset, on_delete=models.PROTECT)</w:t>
        <w:br/>
        <w:t xml:space="preserve">    quantity = models.DecimalField(max_digits=28, decimal_places=10, default=1)</w:t>
        <w:br/>
        <w:t xml:space="preserve">    average_cost = models.DecimalField(max_digits=24, decimal_places=8, null=True, blank=True)</w:t>
        <w:br/>
        <w:t xml:space="preserve">    manual_value = models.DecimalField(max_digits=24, decimal_places=2, null=True, blank=True)</w:t>
        <w:br/>
        <w:t xml:space="preserve">    provider_value = models.DecimalField(max_digits=24, decimal_places=2, null=True, blank=True)</w:t>
        <w:br/>
        <w:t xml:space="preserve">    source = models.CharField(max_length=10)  # MANUAL/SYNCED</w:t>
        <w:br/>
        <w:t xml:space="preserve">    provider_position_id = models.CharField(max_length=255, blank=True)</w:t>
        <w:br/>
        <w:t xml:space="preserve">    provider_security_id = models.CharField(max_length=255, blank=True)</w:t>
        <w:br/>
        <w:t xml:space="preserve">    provider_metadata = models.JSONField(default=dict, blank=True)</w:t>
        <w:br/>
        <w:br/>
        <w:br/>
        <w:t>class Theme(models.Model):</w:t>
        <w:br/>
        <w:t xml:space="preserve">    portfolio = models.ForeignKey(Portfolio, on_delete=models.CASCADE)</w:t>
        <w:br/>
        <w:t xml:space="preserve">    name = models.CharField(max_length=120)</w:t>
        <w:br/>
        <w:t xml:space="preserve">    parent = models.ForeignKey("self", null=True, blank=True, on_delete=models.CASCADE)</w:t>
        <w:br/>
        <w:br/>
        <w:br/>
        <w:t>class ThemeAssignment(models.Model):</w:t>
        <w:br/>
        <w:t xml:space="preserve">    theme = models.ForeignKey(Theme, on_delete=models.CASCADE)</w:t>
        <w:br/>
        <w:t xml:space="preserve">    holding = models.ForeignKey(Holding, on_delete=models.CASCADE)</w:t>
        <w:br/>
        <w:t xml:space="preserve">    allocation_weight = models.DecimalField(max_digits=7, decimal_places=6, default=1)</w:t>
        <w:br/>
        <w:br/>
        <w:br/>
        <w:t>class IncomeSource(models.Model):</w:t>
        <w:br/>
        <w:t xml:space="preserve">    holding = models.ForeignKey(Holding, on_delete=models.CASCADE)</w:t>
        <w:br/>
        <w:t xml:space="preserve">    income_type = models.CharField(max_length=20)</w:t>
        <w:br/>
        <w:t xml:space="preserve">    source = models.CharField(max_length=20)</w:t>
        <w:br/>
        <w:t xml:space="preserve">    annual_amount = models.DecimalField(max_digits=24, decimal_places=2, null=True, blank=True)</w:t>
        <w:br/>
        <w:t xml:space="preserve">    amount_per_unit = models.DecimalField(max_digits=24, decimal_places=8, null=True, blank=True)</w:t>
        <w:br/>
        <w:t xml:space="preserve">    frequency = models.CharField(max_length=20, blank=True)</w:t>
        <w:br/>
        <w:t xml:space="preserve">    currency = models.CharField(max_length=3, blank=True)</w:t>
        <w:br/>
        <w:t xml:space="preserve">    metadata = models.JSONField(default=dict, blank=True)</w:t>
      </w:r>
    </w:p>
    <w:p>
      <w:r>
        <w:t>This is a conceptual skeleton, not final migration-ready code. Codex should add constraints, indexes, validation, timestamps, enums, permissions, money/currency handling, provider abstractions, and tests rather than copying it verbatim.</w:t>
      </w:r>
    </w:p>
    <w:p>
      <w:pPr>
        <w:pStyle w:val="Heading1"/>
      </w:pPr>
      <w:r>
        <w:t>19. API / Use-Case Flows</w:t>
      </w:r>
    </w:p>
    <w:p>
      <w:pPr>
        <w:pStyle w:val="Heading2"/>
      </w:pPr>
      <w:r>
        <w:t>19.1 Add a normal manual asset</w:t>
      </w:r>
    </w:p>
    <w:p>
      <w:pPr>
        <w:pStyle w:val="CodeBlock"/>
      </w:pPr>
      <w:r>
        <w:t>POST /portfolio/{id}/assets</w:t>
        <w:br/>
        <w:t xml:space="preserve">  -&gt; validate portfolio ownership</w:t>
        <w:br/>
        <w:t xml:space="preserve">  -&gt; resolve/create AssetType</w:t>
        <w:br/>
        <w:t xml:space="preserve">  -&gt; create Asset</w:t>
        <w:br/>
        <w:t xml:space="preserve">  -&gt; selected Group? use it</w:t>
        <w:br/>
        <w:t xml:space="preserve">     else -&gt; portfolio.system_ungrouped_group</w:t>
        <w:br/>
        <w:t xml:space="preserve">  -&gt; create MANUAL Holding</w:t>
        <w:br/>
        <w:t xml:space="preserve">  -&gt; optional IncomeSource</w:t>
        <w:br/>
        <w:t xml:space="preserve">  -&gt; return serialized holding + valuation</w:t>
      </w:r>
    </w:p>
    <w:p>
      <w:pPr>
        <w:pStyle w:val="Heading2"/>
      </w:pPr>
      <w:r>
        <w:t>19.2 Add a manually market-linked stock</w:t>
      </w:r>
    </w:p>
    <w:p>
      <w:pPr>
        <w:pStyle w:val="CodeBlock"/>
      </w:pPr>
      <w:r>
        <w:t>GET /market/search?q=apple</w:t>
        <w:br/>
        <w:t xml:space="preserve">  -&gt; MarketDataService.search()</w:t>
        <w:br/>
        <w:t xml:space="preserve">  -&gt; cache search response briefly</w:t>
        <w:br/>
        <w:br/>
        <w:t>POST /portfolio/{id}/assets</w:t>
        <w:br/>
        <w:t xml:space="preserve">  -&gt; create Asset from selected search result</w:t>
        <w:br/>
        <w:t xml:space="preserve">  -&gt; persist small market identity fingerprint</w:t>
        <w:br/>
        <w:t xml:space="preserve">  -&gt; create MANUAL Holding</w:t>
        <w:br/>
        <w:t xml:space="preserve">  -&gt; do not create global Stock/Security row</w:t>
      </w:r>
    </w:p>
    <w:p>
      <w:pPr>
        <w:pStyle w:val="Heading2"/>
      </w:pPr>
      <w:r>
        <w:t>19.3 Brokerage sync</w:t>
      </w:r>
    </w:p>
    <w:p>
      <w:pPr>
        <w:pStyle w:val="CodeBlock"/>
      </w:pPr>
      <w:r>
        <w:t>SyncService.sync_connection(connection)</w:t>
        <w:br/>
        <w:t xml:space="preserve">  -&gt; fetch provider accounts</w:t>
        <w:br/>
        <w:t xml:space="preserve">  -&gt; upsert SYNCED Group by provider_account_id</w:t>
        <w:br/>
        <w:t xml:space="preserve">  -&gt; fetch positions</w:t>
        <w:br/>
        <w:t xml:space="preserve">  -&gt; for each provider position:</w:t>
        <w:br/>
        <w:t xml:space="preserve">       match existing Holding by stable provider IDs</w:t>
        <w:br/>
        <w:t xml:space="preserve">       create/update Asset + Holding</w:t>
        <w:br/>
        <w:t xml:space="preserve">  -&gt; mark missing former positions CLOSED according to reconciliation policy</w:t>
        <w:br/>
        <w:t xml:space="preserve">  -&gt; never let user edits overwrite provider-owned fields</w:t>
      </w:r>
    </w:p>
    <w:p>
      <w:pPr>
        <w:pStyle w:val="Heading2"/>
      </w:pPr>
      <w:r>
        <w:t>19.4 Portfolio rendering</w:t>
      </w:r>
    </w:p>
    <w:p>
      <w:pPr>
        <w:pStyle w:val="CodeBlock"/>
      </w:pPr>
      <w:r>
        <w:t>1. Query holdings with groups/assets/types.</w:t>
        <w:br/>
        <w:t>2. Collect market-linked identifiers.</w:t>
        <w:br/>
        <w:t>3. MarketDataService checks cache in bulk.</w:t>
        <w:br/>
        <w:t>4. Fetch only missing/stale market data.</w:t>
        <w:br/>
        <w:t>5. ValuationService resolves each holding value.</w:t>
        <w:br/>
        <w:t>6. IncomeService resolves expected income/yield.</w:t>
        <w:br/>
        <w:t>7. AnalyticsService aggregates:</w:t>
        <w:br/>
        <w:t xml:space="preserve">   - portfolio</w:t>
        <w:br/>
        <w:t xml:space="preserve">   - group</w:t>
        <w:br/>
        <w:t xml:space="preserve">   - asset type</w:t>
        <w:br/>
        <w:t xml:space="preserve">   - theme</w:t>
        <w:br/>
        <w:t>8. Return one normalized portfolio response.</w:t>
      </w:r>
    </w:p>
    <w:p>
      <w:pPr>
        <w:pStyle w:val="Heading1"/>
      </w:pPr>
      <w:r>
        <w:t>20. Performance and History: Design Now, Build Later</w:t>
      </w:r>
    </w:p>
    <w:p>
      <w:r>
        <w:t>True investment performance is not simply current value minus old value because contributions, withdrawals, transfers, purchases, and sales distort the result. The POC can initially show current value, cost basis, unrealized gain/loss, expected income, and yield. Historical charts require persistent history.</w:t>
      </w:r>
    </w:p>
    <w:p>
      <w:pPr>
        <w:pStyle w:val="ListBullet"/>
      </w:pPr>
      <w:r>
        <w:t>Near-term: daily PortfolioSnapshot/ThemeSnapshot can support value-over-time charts.</w:t>
      </w:r>
    </w:p>
    <w:p>
      <w:pPr>
        <w:pStyle w:val="ListBullet"/>
      </w:pPr>
      <w:r>
        <w:t>Later: persist brokerage/manual Transactions and cash flows to calculate time-weighted or money-weighted returns correctly.</w:t>
      </w:r>
    </w:p>
    <w:p>
      <w:pPr>
        <w:pStyle w:val="ListBullet"/>
      </w:pPr>
      <w:r>
        <w:t>Do not call a simple value-over-time chart “investment return” if external cash flows are not adjusted.</w:t>
      </w:r>
    </w:p>
    <w:p>
      <w:pPr>
        <w:pStyle w:val="ListBullet"/>
      </w:pPr>
      <w:r>
        <w:t>Keep closed Holdings rather than deleting them so historical analysis remains possible.</w:t>
      </w:r>
    </w:p>
    <w:p>
      <w:pPr>
        <w:pStyle w:val="Heading1"/>
      </w:pPr>
      <w:r>
        <w:t>21. Edge Cases Codex Must Handle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D9EAF7"/>
            <w:vAlign w:val="center"/>
          </w:tcPr>
          <w:p>
            <w:r>
              <w:rPr>
                <w:b/>
              </w:rPr>
              <w:t>Case</w:t>
            </w:r>
          </w:p>
        </w:tc>
        <w:tc>
          <w:tcPr>
            <w:tcW w:type="dxa" w:w="6624"/>
            <w:shd w:fill="D9EAF7"/>
            <w:vAlign w:val="center"/>
          </w:tcPr>
          <w:p>
            <w:r>
              <w:rPr>
                <w:b/>
              </w:rPr>
              <w:t>Expected behavior</w:t>
            </w:r>
          </w:p>
        </w:tc>
      </w:tr>
      <w:tr>
        <w:tc>
          <w:tcPr>
            <w:tcW w:type="dxa" w:w="3744"/>
            <w:vAlign w:val="top"/>
          </w:tcPr>
          <w:p>
            <w:r>
              <w:t>Market provider cannot resolve symbol</w:t>
            </w:r>
          </w:p>
        </w:tc>
        <w:tc>
          <w:tcPr>
            <w:tcW w:type="dxa" w:w="6624"/>
            <w:vAlign w:val="top"/>
          </w:tcPr>
          <w:p>
            <w:r>
              <w:t>Keep Asset/Holding; show market data unavailable; use fallback valuation if possible.</w:t>
            </w:r>
          </w:p>
        </w:tc>
      </w:tr>
      <w:tr>
        <w:tc>
          <w:tcPr>
            <w:tcW w:type="dxa" w:w="3744"/>
            <w:vAlign w:val="top"/>
          </w:tcPr>
          <w:p>
            <w:r>
              <w:t>Ticker changes in synced account</w:t>
            </w:r>
          </w:p>
        </w:tc>
        <w:tc>
          <w:tcPr>
            <w:tcW w:type="dxa" w:w="6624"/>
            <w:vAlign w:val="top"/>
          </w:tcPr>
          <w:p>
            <w:r>
              <w:t>Provider IDs reconcile same position; update Asset market symbol; next market lookup uses new symbol.</w:t>
            </w:r>
          </w:p>
        </w:tc>
      </w:tr>
      <w:tr>
        <w:tc>
          <w:tcPr>
            <w:tcW w:type="dxa" w:w="3744"/>
            <w:vAlign w:val="top"/>
          </w:tcPr>
          <w:p>
            <w:r>
              <w:t>Ticker reused for different issuer in manual holding</w:t>
            </w:r>
          </w:p>
        </w:tc>
        <w:tc>
          <w:tcPr>
            <w:tcW w:type="dxa" w:w="6624"/>
            <w:vAlign w:val="top"/>
          </w:tcPr>
          <w:p>
            <w:r>
              <w:t>Identity mismatch -&gt; stop enrichment and require relink; never silently switch issuer.</w:t>
            </w:r>
          </w:p>
        </w:tc>
      </w:tr>
      <w:tr>
        <w:tc>
          <w:tcPr>
            <w:tcW w:type="dxa" w:w="3744"/>
            <w:vAlign w:val="top"/>
          </w:tcPr>
          <w:p>
            <w:r>
              <w:t>Delisted/unsupported synced security</w:t>
            </w:r>
          </w:p>
        </w:tc>
        <w:tc>
          <w:tcPr>
            <w:tcW w:type="dxa" w:w="6624"/>
            <w:vAlign w:val="top"/>
          </w:tcPr>
          <w:p>
            <w:r>
              <w:t>Keep provider holding; market enrichment may be unavailable.</w:t>
            </w:r>
          </w:p>
        </w:tc>
      </w:tr>
      <w:tr>
        <w:tc>
          <w:tcPr>
            <w:tcW w:type="dxa" w:w="3744"/>
            <w:vAlign w:val="top"/>
          </w:tcPr>
          <w:p>
            <w:r>
              <w:t>Duplicate manual AAPL in same Group</w:t>
            </w:r>
          </w:p>
        </w:tc>
        <w:tc>
          <w:tcPr>
            <w:tcW w:type="dxa" w:w="6624"/>
            <w:vAlign w:val="top"/>
          </w:tcPr>
          <w:p>
            <w:r>
              <w:t>Allow; warn and offer merge/add-to-existing.</w:t>
            </w:r>
          </w:p>
        </w:tc>
      </w:tr>
      <w:tr>
        <w:tc>
          <w:tcPr>
            <w:tcW w:type="dxa" w:w="3744"/>
            <w:vAlign w:val="top"/>
          </w:tcPr>
          <w:p>
            <w:r>
              <w:t>Same stock in two brokerage Groups</w:t>
            </w:r>
          </w:p>
        </w:tc>
        <w:tc>
          <w:tcPr>
            <w:tcW w:type="dxa" w:w="6624"/>
            <w:vAlign w:val="top"/>
          </w:tcPr>
          <w:p>
            <w:r>
              <w:t>Two Holdings; analytics may aggregate exposure.</w:t>
            </w:r>
          </w:p>
        </w:tc>
      </w:tr>
      <w:tr>
        <w:tc>
          <w:tcPr>
            <w:tcW w:type="dxa" w:w="3744"/>
            <w:vAlign w:val="top"/>
          </w:tcPr>
          <w:p>
            <w:r>
              <w:t>User deletes a manual Group</w:t>
            </w:r>
          </w:p>
        </w:tc>
        <w:tc>
          <w:tcPr>
            <w:tcW w:type="dxa" w:w="6624"/>
            <w:vAlign w:val="top"/>
          </w:tcPr>
          <w:p>
            <w:r>
              <w:t>Require move/delete decision for its Holdings; safe default is move to Ungrouped.</w:t>
            </w:r>
          </w:p>
        </w:tc>
      </w:tr>
      <w:tr>
        <w:tc>
          <w:tcPr>
            <w:tcW w:type="dxa" w:w="3744"/>
            <w:vAlign w:val="top"/>
          </w:tcPr>
          <w:p>
            <w:r>
              <w:t>Provider disconnects</w:t>
            </w:r>
          </w:p>
        </w:tc>
        <w:tc>
          <w:tcPr>
            <w:tcW w:type="dxa" w:w="6624"/>
            <w:vAlign w:val="top"/>
          </w:tcPr>
          <w:p>
            <w:r>
              <w:t>Do not immediately destroy historical Holdings; define archived/disconnected state.</w:t>
            </w:r>
          </w:p>
        </w:tc>
      </w:tr>
      <w:tr>
        <w:tc>
          <w:tcPr>
            <w:tcW w:type="dxa" w:w="3744"/>
            <w:vAlign w:val="top"/>
          </w:tcPr>
          <w:p>
            <w:r>
              <w:t>Custom AssetType deleted</w:t>
            </w:r>
          </w:p>
        </w:tc>
        <w:tc>
          <w:tcPr>
            <w:tcW w:type="dxa" w:w="6624"/>
            <w:vAlign w:val="top"/>
          </w:tcPr>
          <w:p>
            <w:r>
              <w:t>Protect if in use or require reassignment.</w:t>
            </w:r>
          </w:p>
        </w:tc>
      </w:tr>
      <w:tr>
        <w:tc>
          <w:tcPr>
            <w:tcW w:type="dxa" w:w="3744"/>
            <w:vAlign w:val="top"/>
          </w:tcPr>
          <w:p>
            <w:r>
              <w:t>Theme deleted</w:t>
            </w:r>
          </w:p>
        </w:tc>
        <w:tc>
          <w:tcPr>
            <w:tcW w:type="dxa" w:w="6624"/>
            <w:vAlign w:val="top"/>
          </w:tcPr>
          <w:p>
            <w:r>
              <w:t>Remove assignments only; never delete Holdings/Assets.</w:t>
            </w:r>
          </w:p>
        </w:tc>
      </w:tr>
      <w:tr>
        <w:tc>
          <w:tcPr>
            <w:tcW w:type="dxa" w:w="3744"/>
            <w:vAlign w:val="top"/>
          </w:tcPr>
          <w:p>
            <w:r>
              <w:t>Currency differs from portfolio base</w:t>
            </w:r>
          </w:p>
        </w:tc>
        <w:tc>
          <w:tcPr>
            <w:tcW w:type="dxa" w:w="6624"/>
            <w:vAlign w:val="top"/>
          </w:tcPr>
          <w:p>
            <w:r>
              <w:t>Preserve native currency; conversion is valuation/analytics concern.</w:t>
            </w:r>
          </w:p>
        </w:tc>
      </w:tr>
      <w:tr>
        <w:tc>
          <w:tcPr>
            <w:tcW w:type="dxa" w:w="3744"/>
            <w:vAlign w:val="top"/>
          </w:tcPr>
          <w:p>
            <w:r>
              <w:t>Zero quantity / sold synced position</w:t>
            </w:r>
          </w:p>
        </w:tc>
        <w:tc>
          <w:tcPr>
            <w:tcW w:type="dxa" w:w="6624"/>
            <w:vAlign w:val="top"/>
          </w:tcPr>
          <w:p>
            <w:r>
              <w:t>Close/archive according to sync policy rather than deleting history.</w:t>
            </w:r>
          </w:p>
        </w:tc>
      </w:tr>
    </w:tbl>
    <w:p/>
    <w:p>
      <w:pPr>
        <w:pStyle w:val="Heading1"/>
      </w:pPr>
      <w:r>
        <w:t>22. What Is Explicitly Out of Scope for the POC</w:t>
      </w:r>
    </w:p>
    <w:p>
      <w:pPr>
        <w:pStyle w:val="ListBullet"/>
      </w:pPr>
      <w:r>
        <w:t>Global stock/security master.</w:t>
      </w:r>
    </w:p>
    <w:p>
      <w:pPr>
        <w:pStyle w:val="ListBullet"/>
      </w:pPr>
      <w:r>
        <w:t>Global ticker-change and corporate-actions reconciliation engine.</w:t>
      </w:r>
    </w:p>
    <w:p>
      <w:pPr>
        <w:pStyle w:val="ListBullet"/>
      </w:pPr>
      <w:r>
        <w:t>Full tax-lot accounting.</w:t>
      </w:r>
    </w:p>
    <w:p>
      <w:pPr>
        <w:pStyle w:val="ListBullet"/>
      </w:pPr>
      <w:r>
        <w:t>Order entry/trading.</w:t>
      </w:r>
    </w:p>
    <w:p>
      <w:pPr>
        <w:pStyle w:val="ListBullet"/>
      </w:pPr>
      <w:r>
        <w:t>Institutional performance attribution.</w:t>
      </w:r>
    </w:p>
    <w:p>
      <w:pPr>
        <w:pStyle w:val="ListBullet"/>
      </w:pPr>
      <w:r>
        <w:t>Complex transaction ledger unless required by brokerage sync.</w:t>
      </w:r>
    </w:p>
    <w:p>
      <w:pPr>
        <w:pStyle w:val="ListBullet"/>
      </w:pPr>
      <w:r>
        <w:t>Custom Sheet/block-builder framework.</w:t>
      </w:r>
    </w:p>
    <w:p>
      <w:pPr>
        <w:pStyle w:val="ListBullet"/>
      </w:pPr>
      <w:r>
        <w:t>Automatic valuation providers for every physical/custom asset class.</w:t>
      </w:r>
    </w:p>
    <w:p>
      <w:pPr>
        <w:pStyle w:val="ListBullet"/>
      </w:pPr>
      <w:r>
        <w:t>Perfect international lifecycle tracking for manually market-linked securities.</w:t>
      </w:r>
    </w:p>
    <w:p>
      <w:pPr>
        <w:pStyle w:val="Heading1"/>
      </w:pPr>
      <w:r>
        <w:t>23. POC Build Order</w:t>
      </w:r>
    </w:p>
    <w:p>
      <w:pPr>
        <w:pStyle w:val="ListNumber"/>
      </w:pPr>
      <w:r>
        <w:t>Implement Portfolio and automatic SYSTEM Ungrouped Group.</w:t>
      </w:r>
    </w:p>
    <w:p>
      <w:pPr>
        <w:pStyle w:val="ListNumber"/>
      </w:pPr>
      <w:r>
        <w:t>Implement AssetType with built-in + user-created types.</w:t>
      </w:r>
    </w:p>
    <w:p>
      <w:pPr>
        <w:pStyle w:val="ListNumber"/>
      </w:pPr>
      <w:r>
        <w:t>Implement Asset and Holding with MANUAL flows.</w:t>
      </w:r>
    </w:p>
    <w:p>
      <w:pPr>
        <w:pStyle w:val="ListNumber"/>
      </w:pPr>
      <w:r>
        <w:t>Implement MANUAL Group creation/movement/deletion rules.</w:t>
      </w:r>
    </w:p>
    <w:p>
      <w:pPr>
        <w:pStyle w:val="ListNumber"/>
      </w:pPr>
      <w:r>
        <w:t>Implement valuation source resolution for manual assets.</w:t>
      </w:r>
    </w:p>
    <w:p>
      <w:pPr>
        <w:pStyle w:val="ListNumber"/>
      </w:pPr>
      <w:r>
        <w:t>Implement IncomeSource and yield calculations.</w:t>
      </w:r>
    </w:p>
    <w:p>
      <w:pPr>
        <w:pStyle w:val="ListNumber"/>
      </w:pPr>
      <w:r>
        <w:t>Implement market-data service interface and cache-first behavior.</w:t>
      </w:r>
    </w:p>
    <w:p>
      <w:pPr>
        <w:pStyle w:val="ListNumber"/>
      </w:pPr>
      <w:r>
        <w:t>Implement manual market-linked stock search/add/relink behavior.</w:t>
      </w:r>
    </w:p>
    <w:p>
      <w:pPr>
        <w:pStyle w:val="ListNumber"/>
      </w:pPr>
      <w:r>
        <w:t>Implement brokerage Connection + SyncService and SYNCED Groups/Holdings.</w:t>
      </w:r>
    </w:p>
    <w:p>
      <w:pPr>
        <w:pStyle w:val="ListNumber"/>
      </w:pPr>
      <w:r>
        <w:t>Implement portfolio overview aggregations by Group and AssetType.</w:t>
      </w:r>
    </w:p>
    <w:p>
      <w:pPr>
        <w:pStyle w:val="ListNumber"/>
      </w:pPr>
      <w:r>
        <w:t>Implement Theme, subthemes, ThemeAssignment, unassigned holdings, and target allocation.</w:t>
      </w:r>
    </w:p>
    <w:p>
      <w:pPr>
        <w:pStyle w:val="ListNumber"/>
      </w:pPr>
      <w:r>
        <w:t>Implement Theme Sheet and Cash Flow Sheet.</w:t>
      </w:r>
    </w:p>
    <w:p>
      <w:pPr>
        <w:pStyle w:val="ListNumber"/>
      </w:pPr>
      <w:r>
        <w:t>Add snapshot/history primitives only after current-state flows are stable.</w:t>
      </w:r>
    </w:p>
    <w:p>
      <w:pPr>
        <w:pStyle w:val="Heading1"/>
      </w:pPr>
      <w:r>
        <w:t>24. Acceptance Criteria for the Asset-Side POC</w:t>
      </w:r>
    </w:p>
    <w:p>
      <w:pPr>
        <w:pStyle w:val="ListBullet"/>
      </w:pPr>
      <w:r>
        <w:t>A new Portfolio is created with an invisible/system Ungrouped Group.</w:t>
      </w:r>
    </w:p>
    <w:p>
      <w:pPr>
        <w:pStyle w:val="ListBullet"/>
      </w:pPr>
      <w:r>
        <w:t>User can create arbitrary manual Groups and arbitrary custom AssetTypes.</w:t>
      </w:r>
    </w:p>
    <w:p>
      <w:pPr>
        <w:pStyle w:val="ListBullet"/>
      </w:pPr>
      <w:r>
        <w:t>User can add a house, car, gold bar, collectible, cash, or custom asset without selecting a Group.</w:t>
      </w:r>
    </w:p>
    <w:p>
      <w:pPr>
        <w:pStyle w:val="ListBullet"/>
      </w:pPr>
      <w:r>
        <w:t>Every resulting Holding is still structurally inside a Group.</w:t>
      </w:r>
    </w:p>
    <w:p>
      <w:pPr>
        <w:pStyle w:val="ListBullet"/>
      </w:pPr>
      <w:r>
        <w:t>User can move manual Holdings between manual/system Groups.</w:t>
      </w:r>
    </w:p>
    <w:p>
      <w:pPr>
        <w:pStyle w:val="ListBullet"/>
      </w:pPr>
      <w:r>
        <w:t>User can add a market-linked public security without creating a global Stock row.</w:t>
      </w:r>
    </w:p>
    <w:p>
      <w:pPr>
        <w:pStyle w:val="ListBullet"/>
      </w:pPr>
      <w:r>
        <w:t>Synced brokerage account creates a SYNCED Group and provider-controlled Holdings.</w:t>
      </w:r>
    </w:p>
    <w:p>
      <w:pPr>
        <w:pStyle w:val="ListBullet"/>
      </w:pPr>
      <w:r>
        <w:t>Synced Holdings cannot be manually altered in ways that conflict with provider state.</w:t>
      </w:r>
    </w:p>
    <w:p>
      <w:pPr>
        <w:pStyle w:val="ListBullet"/>
      </w:pPr>
      <w:r>
        <w:t>Market-data failure leaves ownership intact.</w:t>
      </w:r>
    </w:p>
    <w:p>
      <w:pPr>
        <w:pStyle w:val="ListBullet"/>
      </w:pPr>
      <w:r>
        <w:t>Current value, cost basis, gain/loss, expected income, current yield, and yield-on-cost can be produced where inputs exist.</w:t>
      </w:r>
    </w:p>
    <w:p>
      <w:pPr>
        <w:pStyle w:val="ListBullet"/>
      </w:pPr>
      <w:r>
        <w:t>Themes are optional and can span Groups and AssetTypes.</w:t>
      </w:r>
    </w:p>
    <w:p>
      <w:pPr>
        <w:pStyle w:val="ListBullet"/>
      </w:pPr>
      <w:r>
        <w:t>Theme Sheet shows assigned/unassigned holdings, rollups, income/yield, and target allocation.</w:t>
      </w:r>
    </w:p>
    <w:p>
      <w:pPr>
        <w:pStyle w:val="ListBullet"/>
      </w:pPr>
      <w:r>
        <w:t>Cash Flow Sheet aggregates expected income across the entire Portfolio.</w:t>
      </w:r>
    </w:p>
    <w:p>
      <w:pPr>
        <w:pStyle w:val="ListBullet"/>
      </w:pPr>
      <w:r>
        <w:t>Duplicate Holdings are permitted while the UI can warn/offer merge.</w:t>
      </w:r>
    </w:p>
    <w:p>
      <w:pPr>
        <w:pStyle w:val="Heading1"/>
      </w:pPr>
      <w:r>
        <w:t>25. Final Architecture Summary for Codex</w:t>
      </w:r>
    </w:p>
    <w:p>
      <w:pPr>
        <w:pStyle w:val="CodeBlock"/>
      </w:pPr>
      <w:r>
        <w:t>OWNERSHIP / PERMANENT DATA</w:t>
        <w:br/>
        <w:t>============================</w:t>
        <w:br/>
        <w:t>User</w:t>
        <w:br/>
        <w:t xml:space="preserve">  -&gt; Portfolio</w:t>
        <w:br/>
        <w:t xml:space="preserve">       -&gt; Group [SYSTEM | MANUAL | SYNCED]</w:t>
        <w:br/>
        <w:t xml:space="preserve">            -&gt; Holding</w:t>
        <w:br/>
        <w:t xml:space="preserve">                 -&gt; Asset</w:t>
        <w:br/>
        <w:t xml:space="preserve">                      -&gt; AssetType</w:t>
        <w:br/>
        <w:br/>
        <w:t>ANALYTICS / OPTIONAL</w:t>
        <w:br/>
        <w:t>====================</w:t>
        <w:br/>
        <w:t>Holding &lt;-&gt; Theme -&gt; parent Theme/subthemes</w:t>
        <w:br/>
        <w:t>Holding -&gt; IncomeSource</w:t>
        <w:br/>
        <w:t>Portfolio -&gt; Theme Sheet / Cash Flow Sheet / Overview</w:t>
        <w:br/>
        <w:br/>
        <w:t>EXTERNAL ENRICHMENT</w:t>
        <w:br/>
        <w:t>===================</w:t>
        <w:br/>
        <w:t>Brokerage Provider -&gt; SyncService -&gt; SYNCED Groups/Holdings</w:t>
        <w:br/>
        <w:t>Asset market key -&gt; MarketDataService -&gt; Cache -&gt; Market-data provider</w:t>
        <w:br/>
        <w:br/>
        <w:t>NON-NEGOTIABLE BOUNDARIES</w:t>
        <w:br/>
        <w:t>=========================</w:t>
        <w:br/>
        <w:t>- no global Stock/Security database for POC</w:t>
        <w:br/>
        <w:t>- ownership is never deleted because market data failed</w:t>
        <w:br/>
        <w:t>- synced provider fields are provider-controlled</w:t>
        <w:br/>
        <w:t>- manual holdings are user-controlled</w:t>
        <w:br/>
        <w:t>- every Holding is in exactly one Group</w:t>
        <w:br/>
        <w:t>- every Portfolio has one system Ungrouped Group</w:t>
        <w:br/>
        <w:t>- themes do not own holdings</w:t>
        <w:br/>
        <w:t>- market data is enrichment, not ownership truth</w:t>
        <w:br/>
        <w:t>- yield is derived from income and value</w:t>
        <w:br/>
        <w:t>- custom assets/types are first-class</w:t>
      </w:r>
    </w:p>
    <w:p>
      <w:r>
        <w:t>This architecture is intentionally conservative: it gives the POC a stable universal asset model while avoiding the operational burden that previously made the project feel too large. The app can start as a consolidated portfolio tracker and progressively expose thematic investing, dividend/cash-flow analytics, historical performance, and eventually client/asset-manager workflows without replacing the core ownership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Asset Architecture - POC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