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A10CEB">
      <w:pPr>
        <w:pStyle w:val="31"/>
      </w:pPr>
      <w:r>
        <w:t>Diagnostics Tab 目标 UI 对比与下一步建议</w:t>
      </w:r>
    </w:p>
    <w:p w14:paraId="015201F5">
      <w:pPr>
        <w:spacing w:after="160"/>
      </w:pPr>
      <w:r>
        <w:rPr>
          <w:b/>
        </w:rPr>
        <w:t>项目：YieldCurve_Shiny | 页面：Diagnostics | 输出：参考 UI 对比稿与落地建议</w:t>
      </w:r>
    </w:p>
    <w:p w14:paraId="0BCD7A1E">
      <w:pPr>
        <w:pStyle w:val="3"/>
      </w:pPr>
      <w:r>
        <w:t>1. 视觉证据</w:t>
      </w:r>
    </w:p>
    <w:p w14:paraId="1D50825E">
      <w:pPr>
        <w:pStyle w:val="4"/>
      </w:pPr>
      <w:r>
        <w:t>1.1 目标 UI 截图</w:t>
      </w:r>
    </w:p>
    <w:p w14:paraId="5A4B757B">
      <w:r>
        <w:drawing>
          <wp:inline distT="0" distB="0" distL="114300" distR="114300">
            <wp:extent cx="8778240" cy="6245225"/>
            <wp:effectExtent l="0" t="0" r="1016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62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9597B">
      <w:pPr>
        <w:spacing w:after="60"/>
      </w:pPr>
      <w:r>
        <w:rPr>
          <w:i/>
          <w:color w:val="556575"/>
          <w:sz w:val="16"/>
        </w:rPr>
        <w:t>目标 UI：YieldCurve_Shiny/sampleUI/05_diagnostics.png</w:t>
      </w:r>
    </w:p>
    <w:p w14:paraId="43DE13A5">
      <w:pPr>
        <w:pStyle w:val="4"/>
      </w:pPr>
      <w:r>
        <w:t>1.2 当前运行 UI 截图</w:t>
      </w:r>
    </w:p>
    <w:p w14:paraId="59B9900C">
      <w:r>
        <w:drawing>
          <wp:inline distT="0" distB="0" distL="114300" distR="114300">
            <wp:extent cx="8778240" cy="6232525"/>
            <wp:effectExtent l="0" t="0" r="1016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62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812F2">
      <w:pPr>
        <w:spacing w:after="60"/>
      </w:pPr>
      <w:r>
        <w:rPr>
          <w:i/>
          <w:color w:val="556575"/>
          <w:sz w:val="16"/>
        </w:rPr>
        <w:t>当前运行 UI：Apply Curve 后进入 Diagnostics tab 的真实页面截图。</w:t>
      </w:r>
    </w:p>
    <w:p w14:paraId="59061F89">
      <w:pPr>
        <w:pStyle w:val="4"/>
      </w:pPr>
      <w:r>
        <w:t>1.3 当前截图采集条件</w:t>
      </w:r>
    </w:p>
    <w:tbl>
      <w:tblPr>
        <w:tblStyle w:val="32"/>
        <w:tblW w:w="0" w:type="auto"/>
        <w:tblInd w:w="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28"/>
        <w:gridCol w:w="7128"/>
      </w:tblGrid>
      <w:tr w14:paraId="50177E09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28" w:type="dxa"/>
            <w:shd w:val="clear" w:color="auto" w:fill="F2F4F7"/>
            <w:vAlign w:val="center"/>
          </w:tcPr>
          <w:p w14:paraId="46F683FC"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字段</w:t>
            </w:r>
          </w:p>
        </w:tc>
        <w:tc>
          <w:tcPr>
            <w:tcW w:w="7128" w:type="dxa"/>
            <w:shd w:val="clear" w:color="auto" w:fill="F2F4F7"/>
            <w:vAlign w:val="center"/>
          </w:tcPr>
          <w:p w14:paraId="4D31CCB1"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值</w:t>
            </w:r>
          </w:p>
        </w:tc>
      </w:tr>
      <w:tr w14:paraId="0679CC86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28" w:type="dxa"/>
            <w:vAlign w:val="center"/>
          </w:tcPr>
          <w:p w14:paraId="0CF0E1F7"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URL</w:t>
            </w:r>
          </w:p>
        </w:tc>
        <w:tc>
          <w:tcPr>
            <w:tcW w:w="7128" w:type="dxa"/>
            <w:vAlign w:val="center"/>
          </w:tcPr>
          <w:p w14:paraId="4F06332E">
            <w:pPr>
              <w:spacing w:after="0" w:line="240" w:lineRule="auto"/>
              <w:jc w:val="left"/>
            </w:pPr>
            <w:r>
              <w:rPr>
                <w:b w:val="0"/>
                <w:sz w:val="16"/>
              </w:rPr>
              <w:t>http://127.0.0.1:10021/</w:t>
            </w:r>
          </w:p>
        </w:tc>
      </w:tr>
      <w:tr w14:paraId="7148D544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28" w:type="dxa"/>
            <w:vAlign w:val="center"/>
          </w:tcPr>
          <w:p w14:paraId="020D6AF2"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Page / Tab</w:t>
            </w:r>
          </w:p>
        </w:tc>
        <w:tc>
          <w:tcPr>
            <w:tcW w:w="7128" w:type="dxa"/>
            <w:vAlign w:val="center"/>
          </w:tcPr>
          <w:p w14:paraId="7EF7BBAD">
            <w:pPr>
              <w:spacing w:after="0" w:line="240" w:lineRule="auto"/>
              <w:jc w:val="left"/>
            </w:pPr>
            <w:r>
              <w:rPr>
                <w:b w:val="0"/>
                <w:sz w:val="16"/>
              </w:rPr>
              <w:t>Diagnostics</w:t>
            </w:r>
          </w:p>
        </w:tc>
      </w:tr>
      <w:tr w14:paraId="5281B015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28" w:type="dxa"/>
            <w:vAlign w:val="center"/>
          </w:tcPr>
          <w:p w14:paraId="787BF5BA"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关键输入</w:t>
            </w:r>
          </w:p>
        </w:tc>
        <w:tc>
          <w:tcPr>
            <w:tcW w:w="7128" w:type="dxa"/>
            <w:vAlign w:val="center"/>
          </w:tcPr>
          <w:p w14:paraId="26CD1DDC">
            <w:pPr>
              <w:spacing w:after="0" w:line="240" w:lineRule="auto"/>
              <w:jc w:val="left"/>
            </w:pPr>
            <w:r>
              <w:rPr>
                <w:b w:val="0"/>
                <w:sz w:val="16"/>
              </w:rPr>
              <w:t>Curve Explorer 默认数据源与默认曲线；点击 Apply Curve 后切换至 Diagnostics</w:t>
            </w:r>
          </w:p>
        </w:tc>
      </w:tr>
      <w:tr w14:paraId="63EA5C4F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28" w:type="dxa"/>
            <w:vAlign w:val="center"/>
          </w:tcPr>
          <w:p w14:paraId="5ED098C0"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是否点击 Apply/Calculate</w:t>
            </w:r>
          </w:p>
        </w:tc>
        <w:tc>
          <w:tcPr>
            <w:tcW w:w="7128" w:type="dxa"/>
            <w:vAlign w:val="center"/>
          </w:tcPr>
          <w:p w14:paraId="1442BD1C">
            <w:pPr>
              <w:spacing w:after="0" w:line="240" w:lineRule="auto"/>
              <w:jc w:val="left"/>
            </w:pPr>
            <w:r>
              <w:rPr>
                <w:b w:val="0"/>
                <w:sz w:val="16"/>
              </w:rPr>
              <w:t>已点击 Apply Curve；Diagnostics 本身不触发重新计算</w:t>
            </w:r>
          </w:p>
        </w:tc>
      </w:tr>
      <w:tr w14:paraId="4C4855E7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28" w:type="dxa"/>
            <w:vAlign w:val="center"/>
          </w:tcPr>
          <w:p w14:paraId="47963145"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截图时间</w:t>
            </w:r>
          </w:p>
        </w:tc>
        <w:tc>
          <w:tcPr>
            <w:tcW w:w="7128" w:type="dxa"/>
            <w:vAlign w:val="center"/>
          </w:tcPr>
          <w:p w14:paraId="5C23C413">
            <w:pPr>
              <w:spacing w:after="0" w:line="240" w:lineRule="auto"/>
              <w:jc w:val="left"/>
            </w:pPr>
            <w:r>
              <w:rPr>
                <w:b w:val="0"/>
                <w:sz w:val="16"/>
              </w:rPr>
              <w:t>2026-06-20 23:32:24</w:t>
            </w:r>
          </w:p>
        </w:tc>
      </w:tr>
      <w:tr w14:paraId="3CC8D719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28" w:type="dxa"/>
            <w:vAlign w:val="center"/>
          </w:tcPr>
          <w:p w14:paraId="63C645D5"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截图状态</w:t>
            </w:r>
          </w:p>
        </w:tc>
        <w:tc>
          <w:tcPr>
            <w:tcW w:w="7128" w:type="dxa"/>
            <w:vAlign w:val="center"/>
          </w:tcPr>
          <w:p w14:paraId="63559B09">
            <w:pPr>
              <w:spacing w:after="0" w:line="240" w:lineRule="auto"/>
              <w:jc w:val="left"/>
            </w:pPr>
            <w:r>
              <w:rPr>
                <w:b w:val="0"/>
                <w:sz w:val="16"/>
              </w:rPr>
              <w:t>成功；Chrome headless + DevTools Protocol 截图</w:t>
            </w:r>
          </w:p>
        </w:tc>
      </w:tr>
    </w:tbl>
    <w:p w14:paraId="0451CA35">
      <w:pPr>
        <w:pStyle w:val="3"/>
      </w:pPr>
      <w:r>
        <w:t>2. 目标 UI 模块地图</w:t>
      </w:r>
    </w:p>
    <w:p w14:paraId="75DD9AE9">
      <w:pPr>
        <w:pStyle w:val="16"/>
        <w:spacing w:after="40"/>
      </w:pPr>
      <w:r>
        <w:t>Navbar：深色顶部导航，Diagnostics active，右侧 Market Data live、刷新时间、通知和用户头像。</w:t>
      </w:r>
    </w:p>
    <w:p w14:paraId="2FA4D4F6">
      <w:pPr>
        <w:pStyle w:val="16"/>
        <w:spacing w:after="40"/>
      </w:pPr>
      <w:r>
        <w:t>Sidebar：Diagnostics Policy rail，包含 Model Policy、Data Source Policy、Proxy Analysis、Units Policy、Validation Checks、Refresh Local RDS、Local RDS Status。</w:t>
      </w:r>
    </w:p>
    <w:p w14:paraId="72811A85">
      <w:pPr>
        <w:pStyle w:val="16"/>
        <w:spacing w:after="40"/>
      </w:pPr>
      <w:r>
        <w:t>Header：Diagnostics 标题与 “Last successful Curve Explorer apply result” 副标题。</w:t>
      </w:r>
    </w:p>
    <w:p w14:paraId="191C69F9">
      <w:pPr>
        <w:pStyle w:val="16"/>
        <w:spacing w:after="40"/>
      </w:pPr>
      <w:r>
        <w:t>KPI：5 张质量卡：Data Freshness、Missing Points、Fit RMSE (Spline)、Proxy Flag、Unit Check；带 OK/Warning 图标和阈值说明。</w:t>
      </w:r>
    </w:p>
    <w:p w14:paraId="7A84EC19">
      <w:pPr>
        <w:pStyle w:val="16"/>
        <w:spacing w:after="40"/>
      </w:pPr>
      <w:r>
        <w:t>Main：Diagnostics Summary 表 + Fit Residual Diagnostics 图。</w:t>
      </w:r>
    </w:p>
    <w:p w14:paraId="73780A80">
      <w:pPr>
        <w:pStyle w:val="16"/>
        <w:spacing w:after="40"/>
      </w:pPr>
      <w:r>
        <w:t>Bottom：Input Points &amp; Missing Tenors 矩阵 + About Diagnostics 说明卡 + footer 时间/auto-refresh 状态。</w:t>
      </w:r>
    </w:p>
    <w:p w14:paraId="26AAC272">
      <w:pPr>
        <w:pStyle w:val="3"/>
      </w:pPr>
      <w:r>
        <w:t>3. 当前 UI 盘点</w:t>
      </w:r>
    </w:p>
    <w:p w14:paraId="6B808AA8">
      <w:pPr>
        <w:pStyle w:val="16"/>
        <w:spacing w:after="40"/>
      </w:pPr>
      <w:r>
        <w:t>当前 Diagnostics 仍使用通用 dashboard_page + side_panel + module_tabs 布局，视觉层级和目标图差距较大。</w:t>
      </w:r>
    </w:p>
    <w:p w14:paraId="57F419E8">
      <w:pPr>
        <w:pStyle w:val="16"/>
        <w:spacing w:after="40"/>
      </w:pPr>
      <w:r>
        <w:t>Sidebar 当前只有 Model policy 三个 rail-note，缺少目标图中的 Policy 控件、validation checks、refresh/status 等结构。</w:t>
      </w:r>
    </w:p>
    <w:p w14:paraId="50BE81A1">
      <w:pPr>
        <w:pStyle w:val="16"/>
        <w:spacing w:after="40"/>
      </w:pPr>
      <w:r>
        <w:t>Main 当前有 4 个 metric_card：Data Source、Proxy Flag、Fit RMSE、Tenor Points；缺少 Data Freshness、Missing Points、Unit Check 等质量语义。</w:t>
      </w:r>
    </w:p>
    <w:p w14:paraId="3A639891">
      <w:pPr>
        <w:pStyle w:val="16"/>
        <w:spacing w:after="40"/>
      </w:pPr>
      <w:r>
        <w:t>当前主区没有 residual chart；只有 Fit Diagnostics DT 表和 Input Points DT 表。</w:t>
      </w:r>
    </w:p>
    <w:p w14:paraId="35663F2B">
      <w:pPr>
        <w:pStyle w:val="16"/>
        <w:spacing w:after="40"/>
      </w:pPr>
      <w:r>
        <w:t>当前输出依赖 last applied Curve Explorer result，符合目标图“Diagnostics do not trigger recalculation”的数据原则。</w:t>
      </w:r>
    </w:p>
    <w:p w14:paraId="71225904">
      <w:pPr>
        <w:pStyle w:val="16"/>
        <w:spacing w:after="40"/>
      </w:pPr>
      <w:r>
        <w:t>当前代码入口集中在 app.R 的 Diagnostics tab 和 output$diag_* / output$diagnostics_table / output$input_points。</w:t>
      </w:r>
    </w:p>
    <w:p w14:paraId="7995E376">
      <w:pPr>
        <w:pStyle w:val="3"/>
      </w:pPr>
      <w:r>
        <w:t>4. 逐项差距表</w:t>
      </w:r>
    </w:p>
    <w:tbl>
      <w:tblPr>
        <w:tblStyle w:val="32"/>
        <w:tblW w:w="0" w:type="auto"/>
        <w:jc w:val="center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1584"/>
        <w:gridCol w:w="1584"/>
        <w:gridCol w:w="1584"/>
        <w:gridCol w:w="1584"/>
        <w:gridCol w:w="1584"/>
        <w:gridCol w:w="1584"/>
        <w:gridCol w:w="1584"/>
        <w:gridCol w:w="1584"/>
      </w:tblGrid>
      <w:tr w14:paraId="789286FD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shd w:val="clear" w:color="auto" w:fill="E8EEF5"/>
            <w:vAlign w:val="center"/>
          </w:tcPr>
          <w:p w14:paraId="10A071D0">
            <w:pPr>
              <w:spacing w:after="0" w:line="240" w:lineRule="auto"/>
              <w:jc w:val="left"/>
            </w:pPr>
            <w:r>
              <w:rPr>
                <w:b/>
                <w:sz w:val="14"/>
              </w:rPr>
              <w:t>编号</w:t>
            </w:r>
          </w:p>
        </w:tc>
        <w:tc>
          <w:tcPr>
            <w:tcW w:w="1584" w:type="dxa"/>
            <w:shd w:val="clear" w:color="auto" w:fill="E8EEF5"/>
            <w:vAlign w:val="center"/>
          </w:tcPr>
          <w:p w14:paraId="09054E65">
            <w:pPr>
              <w:spacing w:after="0" w:line="240" w:lineRule="auto"/>
              <w:jc w:val="left"/>
            </w:pPr>
            <w:r>
              <w:rPr>
                <w:b/>
                <w:sz w:val="14"/>
              </w:rPr>
              <w:t>模块</w:t>
            </w:r>
          </w:p>
        </w:tc>
        <w:tc>
          <w:tcPr>
            <w:tcW w:w="1584" w:type="dxa"/>
            <w:shd w:val="clear" w:color="auto" w:fill="E8EEF5"/>
            <w:vAlign w:val="center"/>
          </w:tcPr>
          <w:p w14:paraId="3FCAE3FA">
            <w:pPr>
              <w:spacing w:after="0" w:line="240" w:lineRule="auto"/>
              <w:jc w:val="left"/>
            </w:pPr>
            <w:r>
              <w:rPr>
                <w:b/>
                <w:sz w:val="14"/>
              </w:rPr>
              <w:t>目标 UI 表达</w:t>
            </w:r>
          </w:p>
        </w:tc>
        <w:tc>
          <w:tcPr>
            <w:tcW w:w="1584" w:type="dxa"/>
            <w:shd w:val="clear" w:color="auto" w:fill="E8EEF5"/>
            <w:vAlign w:val="center"/>
          </w:tcPr>
          <w:p w14:paraId="1507B556">
            <w:pPr>
              <w:spacing w:after="0" w:line="240" w:lineRule="auto"/>
              <w:jc w:val="left"/>
            </w:pPr>
            <w:r>
              <w:rPr>
                <w:b/>
                <w:sz w:val="14"/>
              </w:rPr>
              <w:t>当前 UI 截图状态</w:t>
            </w:r>
          </w:p>
        </w:tc>
        <w:tc>
          <w:tcPr>
            <w:tcW w:w="1584" w:type="dxa"/>
            <w:shd w:val="clear" w:color="auto" w:fill="E8EEF5"/>
            <w:vAlign w:val="center"/>
          </w:tcPr>
          <w:p w14:paraId="6FD201D7">
            <w:pPr>
              <w:spacing w:after="0" w:line="240" w:lineRule="auto"/>
              <w:jc w:val="left"/>
            </w:pPr>
            <w:r>
              <w:rPr>
                <w:b/>
                <w:sz w:val="14"/>
              </w:rPr>
              <w:t>当前代码状态</w:t>
            </w:r>
          </w:p>
        </w:tc>
        <w:tc>
          <w:tcPr>
            <w:tcW w:w="1584" w:type="dxa"/>
            <w:shd w:val="clear" w:color="auto" w:fill="E8EEF5"/>
            <w:vAlign w:val="center"/>
          </w:tcPr>
          <w:p w14:paraId="51F7D5CC">
            <w:pPr>
              <w:spacing w:after="0" w:line="240" w:lineRule="auto"/>
              <w:jc w:val="left"/>
            </w:pPr>
            <w:r>
              <w:rPr>
                <w:b/>
                <w:sz w:val="14"/>
              </w:rPr>
              <w:t>差距判断</w:t>
            </w:r>
          </w:p>
        </w:tc>
        <w:tc>
          <w:tcPr>
            <w:tcW w:w="1584" w:type="dxa"/>
            <w:shd w:val="clear" w:color="auto" w:fill="E8EEF5"/>
            <w:vAlign w:val="center"/>
          </w:tcPr>
          <w:p w14:paraId="48D96975">
            <w:pPr>
              <w:spacing w:after="0" w:line="240" w:lineRule="auto"/>
              <w:jc w:val="left"/>
            </w:pPr>
            <w:r>
              <w:rPr>
                <w:b/>
                <w:sz w:val="14"/>
              </w:rPr>
              <w:t>推荐修改</w:t>
            </w:r>
          </w:p>
        </w:tc>
        <w:tc>
          <w:tcPr>
            <w:tcW w:w="1584" w:type="dxa"/>
            <w:shd w:val="clear" w:color="auto" w:fill="E8EEF5"/>
            <w:vAlign w:val="center"/>
          </w:tcPr>
          <w:p w14:paraId="5FFF4798">
            <w:pPr>
              <w:spacing w:after="0" w:line="240" w:lineRule="auto"/>
              <w:jc w:val="left"/>
            </w:pPr>
            <w:r>
              <w:rPr>
                <w:b/>
                <w:sz w:val="14"/>
              </w:rPr>
              <w:t>实现风险</w:t>
            </w:r>
          </w:p>
        </w:tc>
        <w:tc>
          <w:tcPr>
            <w:tcW w:w="1584" w:type="dxa"/>
            <w:shd w:val="clear" w:color="auto" w:fill="E8EEF5"/>
            <w:vAlign w:val="center"/>
          </w:tcPr>
          <w:p w14:paraId="62B878E3">
            <w:pPr>
              <w:spacing w:after="0" w:line="240" w:lineRule="auto"/>
              <w:jc w:val="left"/>
            </w:pPr>
            <w:r>
              <w:rPr>
                <w:b/>
                <w:sz w:val="14"/>
              </w:rPr>
              <w:t>用户补充/决策</w:t>
            </w:r>
          </w:p>
        </w:tc>
      </w:tr>
      <w:tr w14:paraId="3CCE9827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vAlign w:val="center"/>
          </w:tcPr>
          <w:p w14:paraId="59D4AED2">
            <w:pPr>
              <w:spacing w:after="0" w:line="240" w:lineRule="auto"/>
              <w:jc w:val="left"/>
            </w:pPr>
            <w:r>
              <w:rPr>
                <w:b w:val="0"/>
                <w:sz w:val="13"/>
              </w:rPr>
              <w:t>1</w:t>
            </w:r>
          </w:p>
        </w:tc>
        <w:tc>
          <w:tcPr>
            <w:tcW w:w="1584" w:type="dxa"/>
            <w:vAlign w:val="center"/>
          </w:tcPr>
          <w:p w14:paraId="1CA68951">
            <w:pPr>
              <w:spacing w:after="0" w:line="240" w:lineRule="auto"/>
              <w:jc w:val="left"/>
            </w:pPr>
            <w:r>
              <w:rPr>
                <w:b w:val="0"/>
                <w:sz w:val="13"/>
              </w:rPr>
              <w:t>Navbar / Header</w:t>
            </w:r>
          </w:p>
        </w:tc>
        <w:tc>
          <w:tcPr>
            <w:tcW w:w="1584" w:type="dxa"/>
            <w:vAlign w:val="center"/>
          </w:tcPr>
          <w:p w14:paraId="12E95F4A">
            <w:pPr>
              <w:spacing w:after="0" w:line="240" w:lineRule="auto"/>
              <w:jc w:val="left"/>
            </w:pPr>
            <w:r>
              <w:rPr>
                <w:b w:val="0"/>
                <w:sz w:val="13"/>
              </w:rPr>
              <w:t>目标为深色 nav + Diagnostics active + Market Data live + refreshed time。标题区简洁。</w:t>
            </w:r>
          </w:p>
        </w:tc>
        <w:tc>
          <w:tcPr>
            <w:tcW w:w="1584" w:type="dxa"/>
            <w:vAlign w:val="center"/>
          </w:tcPr>
          <w:p w14:paraId="7F82A087">
            <w:pPr>
              <w:spacing w:after="0" w:line="240" w:lineRule="auto"/>
              <w:jc w:val="left"/>
            </w:pPr>
            <w:r>
              <w:rPr>
                <w:b w:val="0"/>
                <w:sz w:val="13"/>
              </w:rPr>
              <w:t>当前 nav 已深色，active 状态可见；右侧为 Local RDS loaded 文案；标题区仍是通用页面 header。</w:t>
            </w:r>
          </w:p>
        </w:tc>
        <w:tc>
          <w:tcPr>
            <w:tcW w:w="1584" w:type="dxa"/>
            <w:vAlign w:val="center"/>
          </w:tcPr>
          <w:p w14:paraId="2411AD7B">
            <w:pPr>
              <w:spacing w:after="0" w:line="240" w:lineRule="auto"/>
              <w:jc w:val="left"/>
            </w:pPr>
            <w:r>
              <w:rPr>
                <w:b w:val="0"/>
                <w:sz w:val="13"/>
              </w:rPr>
              <w:t>navbarPage + dashboard_page header。</w:t>
            </w:r>
          </w:p>
        </w:tc>
        <w:tc>
          <w:tcPr>
            <w:tcW w:w="1584" w:type="dxa"/>
            <w:vAlign w:val="center"/>
          </w:tcPr>
          <w:p w14:paraId="5A1458B9">
            <w:pPr>
              <w:spacing w:after="0" w:line="240" w:lineRule="auto"/>
              <w:jc w:val="left"/>
            </w:pPr>
            <w:r>
              <w:rPr>
                <w:b w:val="0"/>
                <w:sz w:val="13"/>
              </w:rPr>
              <w:t>中等差距。</w:t>
            </w:r>
          </w:p>
        </w:tc>
        <w:tc>
          <w:tcPr>
            <w:tcW w:w="1584" w:type="dxa"/>
            <w:vAlign w:val="center"/>
          </w:tcPr>
          <w:p w14:paraId="686EA4BF">
            <w:pPr>
              <w:spacing w:after="0" w:line="240" w:lineRule="auto"/>
              <w:jc w:val="left"/>
            </w:pPr>
            <w:r>
              <w:rPr>
                <w:b w:val="0"/>
                <w:sz w:val="13"/>
              </w:rPr>
              <w:t>保持真实 Local RDS 口径，不伪造 live；标题副标题改为目标文案。</w:t>
            </w:r>
          </w:p>
        </w:tc>
        <w:tc>
          <w:tcPr>
            <w:tcW w:w="1584" w:type="dxa"/>
            <w:vAlign w:val="center"/>
          </w:tcPr>
          <w:p w14:paraId="51F8EE63">
            <w:pPr>
              <w:spacing w:after="0" w:line="240" w:lineRule="auto"/>
              <w:jc w:val="left"/>
            </w:pPr>
            <w:r>
              <w:rPr>
                <w:b w:val="0"/>
                <w:sz w:val="13"/>
              </w:rPr>
              <w:t>低。</w:t>
            </w:r>
          </w:p>
        </w:tc>
        <w:tc>
          <w:tcPr>
            <w:tcW w:w="1584" w:type="dxa"/>
            <w:vAlign w:val="center"/>
          </w:tcPr>
          <w:p w14:paraId="746FF5A0">
            <w:pPr>
              <w:spacing w:after="0" w:line="240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b w:val="0"/>
                <w:sz w:val="13"/>
              </w:rPr>
              <w:t>确认是否保留 Local RDS 而非 Market Data live。</w:t>
            </w:r>
            <w:r>
              <w:rPr>
                <w:rFonts w:hint="eastAsia"/>
                <w:b w:val="0"/>
                <w:sz w:val="13"/>
                <w:lang w:eastAsia="zh-CN"/>
              </w:rPr>
              <w:t>（</w:t>
            </w:r>
            <w:r>
              <w:rPr>
                <w:rFonts w:hint="eastAsia"/>
                <w:b w:val="0"/>
                <w:sz w:val="13"/>
                <w:lang w:val="en-US" w:eastAsia="zh-CN"/>
              </w:rPr>
              <w:t>是）</w:t>
            </w:r>
          </w:p>
        </w:tc>
      </w:tr>
      <w:tr w14:paraId="5873D839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vAlign w:val="center"/>
          </w:tcPr>
          <w:p w14:paraId="560C4C9C">
            <w:pPr>
              <w:spacing w:after="0" w:line="240" w:lineRule="auto"/>
              <w:jc w:val="left"/>
            </w:pPr>
            <w:r>
              <w:rPr>
                <w:b w:val="0"/>
                <w:sz w:val="13"/>
              </w:rPr>
              <w:t>2</w:t>
            </w:r>
          </w:p>
        </w:tc>
        <w:tc>
          <w:tcPr>
            <w:tcW w:w="1584" w:type="dxa"/>
            <w:vAlign w:val="center"/>
          </w:tcPr>
          <w:p w14:paraId="3FBFA6A0">
            <w:pPr>
              <w:spacing w:after="0" w:line="240" w:lineRule="auto"/>
              <w:jc w:val="left"/>
            </w:pPr>
            <w:r>
              <w:rPr>
                <w:b w:val="0"/>
                <w:sz w:val="13"/>
              </w:rPr>
              <w:t>Sidebar Policy</w:t>
            </w:r>
          </w:p>
        </w:tc>
        <w:tc>
          <w:tcPr>
            <w:tcW w:w="1584" w:type="dxa"/>
            <w:vAlign w:val="center"/>
          </w:tcPr>
          <w:p w14:paraId="77DD7814">
            <w:pPr>
              <w:spacing w:after="0" w:line="240" w:lineRule="auto"/>
              <w:jc w:val="left"/>
            </w:pPr>
            <w:r>
              <w:rPr>
                <w:b w:val="0"/>
                <w:sz w:val="13"/>
              </w:rPr>
              <w:t>左侧是完整 Diagnostics Policy 控制台，多组输入和状态。</w:t>
            </w:r>
          </w:p>
        </w:tc>
        <w:tc>
          <w:tcPr>
            <w:tcW w:w="1584" w:type="dxa"/>
            <w:vAlign w:val="center"/>
          </w:tcPr>
          <w:p w14:paraId="6085A03D">
            <w:pPr>
              <w:spacing w:after="0" w:line="240" w:lineRule="auto"/>
              <w:jc w:val="left"/>
            </w:pPr>
            <w:r>
              <w:rPr>
                <w:b w:val="0"/>
                <w:sz w:val="13"/>
              </w:rPr>
              <w:t>当前只有三个说明 note，缺少 policy controls。</w:t>
            </w:r>
          </w:p>
        </w:tc>
        <w:tc>
          <w:tcPr>
            <w:tcW w:w="1584" w:type="dxa"/>
            <w:vAlign w:val="center"/>
          </w:tcPr>
          <w:p w14:paraId="4A744974">
            <w:pPr>
              <w:spacing w:after="0" w:line="240" w:lineRule="auto"/>
              <w:jc w:val="left"/>
            </w:pPr>
            <w:r>
              <w:rPr>
                <w:b w:val="0"/>
                <w:sz w:val="13"/>
              </w:rPr>
              <w:t>side_panel 中 control_section("Model policy")。</w:t>
            </w:r>
          </w:p>
        </w:tc>
        <w:tc>
          <w:tcPr>
            <w:tcW w:w="1584" w:type="dxa"/>
            <w:vAlign w:val="center"/>
          </w:tcPr>
          <w:p w14:paraId="27A9047E">
            <w:pPr>
              <w:spacing w:after="0" w:line="240" w:lineRule="auto"/>
              <w:jc w:val="left"/>
            </w:pPr>
            <w:r>
              <w:rPr>
                <w:b w:val="0"/>
                <w:sz w:val="13"/>
              </w:rPr>
              <w:t>大差距。</w:t>
            </w:r>
          </w:p>
        </w:tc>
        <w:tc>
          <w:tcPr>
            <w:tcW w:w="1584" w:type="dxa"/>
            <w:vAlign w:val="center"/>
          </w:tcPr>
          <w:p w14:paraId="6F86C1F8">
            <w:pPr>
              <w:spacing w:after="0" w:line="240" w:lineRule="auto"/>
              <w:jc w:val="left"/>
            </w:pPr>
            <w:r>
              <w:rPr>
                <w:b w:val="0"/>
                <w:sz w:val="13"/>
              </w:rPr>
              <w:t>重建为目标 rail：Model Policy、Data Source Policy、Proxy Analysis、Units Policy、Validation Checks、Refresh、Local RDS Status。</w:t>
            </w:r>
          </w:p>
        </w:tc>
        <w:tc>
          <w:tcPr>
            <w:tcW w:w="1584" w:type="dxa"/>
            <w:vAlign w:val="center"/>
          </w:tcPr>
          <w:p w14:paraId="318C32CB">
            <w:pPr>
              <w:spacing w:after="0" w:line="240" w:lineRule="auto"/>
              <w:jc w:val="left"/>
            </w:pPr>
            <w:r>
              <w:rPr>
                <w:b w:val="0"/>
                <w:sz w:val="13"/>
              </w:rPr>
              <w:t>中：部分控件先作为 policy UI，不一定立即改变计算。</w:t>
            </w:r>
          </w:p>
        </w:tc>
        <w:tc>
          <w:tcPr>
            <w:tcW w:w="1584" w:type="dxa"/>
            <w:vAlign w:val="center"/>
          </w:tcPr>
          <w:p w14:paraId="5EC2F9D4">
            <w:pPr>
              <w:spacing w:after="0" w:line="240" w:lineRule="auto"/>
              <w:jc w:val="left"/>
              <w:rPr>
                <w:rFonts w:hint="eastAsia"/>
                <w:b w:val="0"/>
                <w:sz w:val="13"/>
                <w:lang w:val="en-US" w:eastAsia="zh-CN"/>
              </w:rPr>
            </w:pPr>
            <w:r>
              <w:rPr>
                <w:rFonts w:hint="eastAsia"/>
                <w:b w:val="0"/>
                <w:sz w:val="13"/>
                <w:lang w:val="en-US" w:eastAsia="zh-CN"/>
              </w:rPr>
              <w:t>以下留着：</w:t>
            </w:r>
          </w:p>
          <w:p w14:paraId="60290CCE">
            <w:pPr>
              <w:spacing w:after="0" w:line="240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b w:val="0"/>
                <w:sz w:val="13"/>
                <w:lang w:val="en-US" w:eastAsia="zh-CN"/>
              </w:rPr>
              <w:t>Model policy的residual warning和fail，并且放一行，proxyanalysis，unit policy，validation check</w:t>
            </w:r>
          </w:p>
        </w:tc>
      </w:tr>
      <w:tr w14:paraId="21FA8AF5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vAlign w:val="center"/>
          </w:tcPr>
          <w:p w14:paraId="56E7F5F0">
            <w:pPr>
              <w:spacing w:after="0" w:line="240" w:lineRule="auto"/>
              <w:jc w:val="left"/>
            </w:pPr>
            <w:r>
              <w:rPr>
                <w:b w:val="0"/>
                <w:sz w:val="13"/>
              </w:rPr>
              <w:t>3</w:t>
            </w:r>
          </w:p>
        </w:tc>
        <w:tc>
          <w:tcPr>
            <w:tcW w:w="1584" w:type="dxa"/>
            <w:vAlign w:val="center"/>
          </w:tcPr>
          <w:p w14:paraId="30951BDD">
            <w:pPr>
              <w:spacing w:after="0" w:line="240" w:lineRule="auto"/>
              <w:jc w:val="left"/>
            </w:pPr>
            <w:r>
              <w:rPr>
                <w:b w:val="0"/>
                <w:sz w:val="13"/>
              </w:rPr>
              <w:t>KPI Cards</w:t>
            </w:r>
          </w:p>
        </w:tc>
        <w:tc>
          <w:tcPr>
            <w:tcW w:w="1584" w:type="dxa"/>
            <w:vAlign w:val="center"/>
          </w:tcPr>
          <w:p w14:paraId="6658F2B0">
            <w:pPr>
              <w:spacing w:after="0" w:line="240" w:lineRule="auto"/>
              <w:jc w:val="left"/>
            </w:pPr>
            <w:r>
              <w:rPr>
                <w:b w:val="0"/>
                <w:sz w:val="13"/>
              </w:rPr>
              <w:t>5 张质量 KPI，包含 freshness、missing、RMSE、proxy、unit check。</w:t>
            </w:r>
          </w:p>
        </w:tc>
        <w:tc>
          <w:tcPr>
            <w:tcW w:w="1584" w:type="dxa"/>
            <w:vAlign w:val="center"/>
          </w:tcPr>
          <w:p w14:paraId="4AEE49A1">
            <w:pPr>
              <w:spacing w:after="0" w:line="240" w:lineRule="auto"/>
              <w:jc w:val="left"/>
            </w:pPr>
            <w:r>
              <w:rPr>
                <w:b w:val="0"/>
                <w:sz w:val="13"/>
              </w:rPr>
              <w:t>当前 4 张基础指标，偏技术字段。</w:t>
            </w:r>
          </w:p>
        </w:tc>
        <w:tc>
          <w:tcPr>
            <w:tcW w:w="1584" w:type="dxa"/>
            <w:vAlign w:val="center"/>
          </w:tcPr>
          <w:p w14:paraId="7BDEC0AA">
            <w:pPr>
              <w:spacing w:after="0" w:line="240" w:lineRule="auto"/>
              <w:jc w:val="left"/>
            </w:pPr>
            <w:r>
              <w:rPr>
                <w:b w:val="0"/>
                <w:sz w:val="13"/>
              </w:rPr>
              <w:t>diag_source、diag_proxy、diag_rmse、diag_points。</w:t>
            </w:r>
          </w:p>
        </w:tc>
        <w:tc>
          <w:tcPr>
            <w:tcW w:w="1584" w:type="dxa"/>
            <w:vAlign w:val="center"/>
          </w:tcPr>
          <w:p w14:paraId="3F996827">
            <w:pPr>
              <w:spacing w:after="0" w:line="240" w:lineRule="auto"/>
              <w:jc w:val="left"/>
            </w:pPr>
            <w:r>
              <w:rPr>
                <w:b w:val="0"/>
                <w:sz w:val="13"/>
              </w:rPr>
              <w:t>大差距。</w:t>
            </w:r>
          </w:p>
        </w:tc>
        <w:tc>
          <w:tcPr>
            <w:tcW w:w="1584" w:type="dxa"/>
            <w:vAlign w:val="center"/>
          </w:tcPr>
          <w:p w14:paraId="7200E880">
            <w:pPr>
              <w:spacing w:after="0" w:line="240" w:lineRule="auto"/>
              <w:jc w:val="left"/>
            </w:pPr>
            <w:r>
              <w:rPr>
                <w:b w:val="0"/>
                <w:sz w:val="13"/>
              </w:rPr>
              <w:t>改为 5 KPI；可从 applied_curve 派生 missing/tenor count/RMSE/unit policy，freshness 用本地 snapshot 时间或 NA。</w:t>
            </w:r>
          </w:p>
        </w:tc>
        <w:tc>
          <w:tcPr>
            <w:tcW w:w="1584" w:type="dxa"/>
            <w:vAlign w:val="center"/>
          </w:tcPr>
          <w:p w14:paraId="5EFD96CC">
            <w:pPr>
              <w:spacing w:after="0" w:line="240" w:lineRule="auto"/>
              <w:jc w:val="left"/>
            </w:pPr>
            <w:r>
              <w:rPr>
                <w:b w:val="0"/>
                <w:sz w:val="13"/>
              </w:rPr>
              <w:t>中：freshness/live source 不能伪造。</w:t>
            </w:r>
          </w:p>
        </w:tc>
        <w:tc>
          <w:tcPr>
            <w:tcW w:w="1584" w:type="dxa"/>
            <w:vAlign w:val="center"/>
          </w:tcPr>
          <w:p w14:paraId="798A898D">
            <w:pPr>
              <w:spacing w:after="0" w:line="240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b w:val="0"/>
                <w:sz w:val="13"/>
              </w:rPr>
              <w:t>确认 freshness 显示 Local RDS timestamp/NA。</w:t>
            </w:r>
            <w:r>
              <w:rPr>
                <w:rFonts w:hint="eastAsia"/>
                <w:b w:val="0"/>
                <w:sz w:val="13"/>
                <w:lang w:val="en-US" w:eastAsia="zh-CN"/>
              </w:rPr>
              <w:t>确认，其他的按照推荐的。</w:t>
            </w:r>
          </w:p>
        </w:tc>
      </w:tr>
      <w:tr w14:paraId="7300797A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vAlign w:val="center"/>
          </w:tcPr>
          <w:p w14:paraId="1513709D">
            <w:pPr>
              <w:spacing w:after="0" w:line="240" w:lineRule="auto"/>
              <w:jc w:val="left"/>
            </w:pPr>
            <w:r>
              <w:rPr>
                <w:b w:val="0"/>
                <w:sz w:val="13"/>
              </w:rPr>
              <w:t>4</w:t>
            </w:r>
          </w:p>
        </w:tc>
        <w:tc>
          <w:tcPr>
            <w:tcW w:w="1584" w:type="dxa"/>
            <w:vAlign w:val="center"/>
          </w:tcPr>
          <w:p w14:paraId="62553914">
            <w:pPr>
              <w:spacing w:after="0" w:line="240" w:lineRule="auto"/>
              <w:jc w:val="left"/>
            </w:pPr>
            <w:r>
              <w:rPr>
                <w:b w:val="0"/>
                <w:sz w:val="13"/>
              </w:rPr>
              <w:t>Diagnostics Summary</w:t>
            </w:r>
          </w:p>
        </w:tc>
        <w:tc>
          <w:tcPr>
            <w:tcW w:w="1584" w:type="dxa"/>
            <w:vAlign w:val="center"/>
          </w:tcPr>
          <w:p w14:paraId="1A65D417">
            <w:pPr>
              <w:spacing w:after="0" w:line="240" w:lineRule="auto"/>
              <w:jc w:val="left"/>
            </w:pPr>
            <w:r>
              <w:rPr>
                <w:b w:val="0"/>
                <w:sz w:val="13"/>
              </w:rPr>
              <w:t>目标为字段、值、单位、来源、状态五列表，带 OK/Warn/N/A 图标。</w:t>
            </w:r>
          </w:p>
        </w:tc>
        <w:tc>
          <w:tcPr>
            <w:tcW w:w="1584" w:type="dxa"/>
            <w:vAlign w:val="center"/>
          </w:tcPr>
          <w:p w14:paraId="237307C9">
            <w:pPr>
              <w:spacing w:after="0" w:line="240" w:lineRule="auto"/>
              <w:jc w:val="left"/>
            </w:pPr>
            <w:r>
              <w:rPr>
                <w:b w:val="0"/>
                <w:sz w:val="13"/>
              </w:rPr>
              <w:t>当前没有 summary 表，只显示 diagnostics raw table。</w:t>
            </w:r>
          </w:p>
        </w:tc>
        <w:tc>
          <w:tcPr>
            <w:tcW w:w="1584" w:type="dxa"/>
            <w:vAlign w:val="center"/>
          </w:tcPr>
          <w:p w14:paraId="3E54F7C1">
            <w:pPr>
              <w:spacing w:after="0" w:line="240" w:lineRule="auto"/>
              <w:jc w:val="left"/>
            </w:pPr>
            <w:r>
              <w:rPr>
                <w:b w:val="0"/>
                <w:sz w:val="13"/>
              </w:rPr>
              <w:t>无 summary 输出。</w:t>
            </w:r>
          </w:p>
        </w:tc>
        <w:tc>
          <w:tcPr>
            <w:tcW w:w="1584" w:type="dxa"/>
            <w:vAlign w:val="center"/>
          </w:tcPr>
          <w:p w14:paraId="4C6811F1">
            <w:pPr>
              <w:spacing w:after="0" w:line="240" w:lineRule="auto"/>
              <w:jc w:val="left"/>
            </w:pPr>
            <w:r>
              <w:rPr>
                <w:b w:val="0"/>
                <w:sz w:val="13"/>
              </w:rPr>
              <w:t>大差距。</w:t>
            </w:r>
          </w:p>
        </w:tc>
        <w:tc>
          <w:tcPr>
            <w:tcW w:w="1584" w:type="dxa"/>
            <w:vAlign w:val="center"/>
          </w:tcPr>
          <w:p w14:paraId="7BF29CC2">
            <w:pPr>
              <w:spacing w:after="0" w:line="240" w:lineRule="auto"/>
              <w:jc w:val="left"/>
            </w:pPr>
            <w:r>
              <w:rPr>
                <w:b w:val="0"/>
                <w:sz w:val="13"/>
              </w:rPr>
              <w:t>新增 renderDT 或 HTML table 汇总 Curve、Dates、Source、Proxy、Tenor Count、RMSE 等。</w:t>
            </w:r>
          </w:p>
        </w:tc>
        <w:tc>
          <w:tcPr>
            <w:tcW w:w="1584" w:type="dxa"/>
            <w:vAlign w:val="center"/>
          </w:tcPr>
          <w:p w14:paraId="7F6BEFD7">
            <w:pPr>
              <w:spacing w:after="0" w:line="240" w:lineRule="auto"/>
              <w:jc w:val="left"/>
            </w:pPr>
            <w:r>
              <w:rPr>
                <w:b w:val="0"/>
                <w:sz w:val="13"/>
              </w:rPr>
              <w:t>中：状态规则需定义阈值。</w:t>
            </w:r>
          </w:p>
        </w:tc>
        <w:tc>
          <w:tcPr>
            <w:tcW w:w="1584" w:type="dxa"/>
            <w:vAlign w:val="center"/>
          </w:tcPr>
          <w:p w14:paraId="2DAD7C25">
            <w:pPr>
              <w:spacing w:after="0" w:line="240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b w:val="0"/>
                <w:sz w:val="13"/>
              </w:rPr>
              <w:t>确认 warning/fail 阈值。</w:t>
            </w:r>
            <w:r>
              <w:rPr>
                <w:rFonts w:hint="eastAsia"/>
                <w:b w:val="0"/>
                <w:sz w:val="13"/>
                <w:lang w:val="en-US" w:eastAsia="zh-CN"/>
              </w:rPr>
              <w:t>按照推荐修改。</w:t>
            </w:r>
          </w:p>
        </w:tc>
      </w:tr>
      <w:tr w14:paraId="4563CD33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vAlign w:val="center"/>
          </w:tcPr>
          <w:p w14:paraId="3A58C167">
            <w:pPr>
              <w:spacing w:after="0" w:line="240" w:lineRule="auto"/>
              <w:jc w:val="left"/>
            </w:pPr>
            <w:r>
              <w:rPr>
                <w:b w:val="0"/>
                <w:sz w:val="13"/>
              </w:rPr>
              <w:t>5</w:t>
            </w:r>
          </w:p>
        </w:tc>
        <w:tc>
          <w:tcPr>
            <w:tcW w:w="1584" w:type="dxa"/>
            <w:vAlign w:val="center"/>
          </w:tcPr>
          <w:p w14:paraId="2001A086">
            <w:pPr>
              <w:spacing w:after="0" w:line="240" w:lineRule="auto"/>
              <w:jc w:val="left"/>
            </w:pPr>
            <w:r>
              <w:rPr>
                <w:b w:val="0"/>
                <w:sz w:val="13"/>
              </w:rPr>
              <w:t>Residual Chart</w:t>
            </w:r>
          </w:p>
        </w:tc>
        <w:tc>
          <w:tcPr>
            <w:tcW w:w="1584" w:type="dxa"/>
            <w:vAlign w:val="center"/>
          </w:tcPr>
          <w:p w14:paraId="6022F8E7">
            <w:pPr>
              <w:spacing w:after="0" w:line="240" w:lineRule="auto"/>
              <w:jc w:val="left"/>
            </w:pPr>
            <w:r>
              <w:rPr>
                <w:b w:val="0"/>
                <w:sz w:val="13"/>
              </w:rPr>
              <w:t>目标有 Fit Residual Diagnostics bar chart，显示 warn/fail 阈值线。</w:t>
            </w:r>
          </w:p>
        </w:tc>
        <w:tc>
          <w:tcPr>
            <w:tcW w:w="1584" w:type="dxa"/>
            <w:vAlign w:val="center"/>
          </w:tcPr>
          <w:p w14:paraId="14003794">
            <w:pPr>
              <w:spacing w:after="0" w:line="240" w:lineRule="auto"/>
              <w:jc w:val="left"/>
            </w:pPr>
            <w:r>
              <w:rPr>
                <w:b w:val="0"/>
                <w:sz w:val="13"/>
              </w:rPr>
              <w:t>当前没有 chart。</w:t>
            </w:r>
          </w:p>
        </w:tc>
        <w:tc>
          <w:tcPr>
            <w:tcW w:w="1584" w:type="dxa"/>
            <w:vAlign w:val="center"/>
          </w:tcPr>
          <w:p w14:paraId="51C298B8">
            <w:pPr>
              <w:spacing w:after="0" w:line="240" w:lineRule="auto"/>
              <w:jc w:val="left"/>
            </w:pPr>
            <w:r>
              <w:rPr>
                <w:b w:val="0"/>
                <w:sz w:val="13"/>
              </w:rPr>
              <w:t>curve_fit()$diagnostics 含 residual_bp，可直接绘图。</w:t>
            </w:r>
          </w:p>
        </w:tc>
        <w:tc>
          <w:tcPr>
            <w:tcW w:w="1584" w:type="dxa"/>
            <w:vAlign w:val="center"/>
          </w:tcPr>
          <w:p w14:paraId="03F57F6F">
            <w:pPr>
              <w:spacing w:after="0" w:line="240" w:lineRule="auto"/>
              <w:jc w:val="left"/>
            </w:pPr>
            <w:r>
              <w:rPr>
                <w:b w:val="0"/>
                <w:sz w:val="13"/>
              </w:rPr>
              <w:t>大差距但数据可支持。</w:t>
            </w:r>
          </w:p>
        </w:tc>
        <w:tc>
          <w:tcPr>
            <w:tcW w:w="1584" w:type="dxa"/>
            <w:vAlign w:val="center"/>
          </w:tcPr>
          <w:p w14:paraId="43CDAC84">
            <w:pPr>
              <w:spacing w:after="0" w:line="240" w:lineRule="auto"/>
              <w:jc w:val="left"/>
            </w:pPr>
            <w:r>
              <w:rPr>
                <w:b w:val="0"/>
                <w:sz w:val="13"/>
              </w:rPr>
              <w:t>新增 Plotly residual bar：x tenor_label、y residual_bp、阈值线 +/-warn、+/-fail。</w:t>
            </w:r>
          </w:p>
        </w:tc>
        <w:tc>
          <w:tcPr>
            <w:tcW w:w="1584" w:type="dxa"/>
            <w:vAlign w:val="center"/>
          </w:tcPr>
          <w:p w14:paraId="199BC876">
            <w:pPr>
              <w:spacing w:after="0" w:line="240" w:lineRule="auto"/>
              <w:jc w:val="left"/>
            </w:pPr>
            <w:r>
              <w:rPr>
                <w:b w:val="0"/>
                <w:sz w:val="13"/>
              </w:rPr>
              <w:t>低到中：legend/modebar/margins 需验收。</w:t>
            </w:r>
          </w:p>
        </w:tc>
        <w:tc>
          <w:tcPr>
            <w:tcW w:w="1584" w:type="dxa"/>
            <w:vAlign w:val="center"/>
          </w:tcPr>
          <w:p w14:paraId="0AF31BE9">
            <w:pPr>
              <w:spacing w:after="0" w:line="240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b w:val="0"/>
                <w:sz w:val="13"/>
              </w:rPr>
              <w:t>默认 warn=1bp fail=2.5bp？</w:t>
            </w:r>
            <w:r>
              <w:rPr>
                <w:rFonts w:hint="eastAsia"/>
                <w:b w:val="0"/>
                <w:sz w:val="13"/>
                <w:lang w:val="en-US" w:eastAsia="zh-CN"/>
              </w:rPr>
              <w:t>对，然后可以根据左侧sidebar输入调整。</w:t>
            </w:r>
          </w:p>
        </w:tc>
      </w:tr>
      <w:tr w14:paraId="62AB556A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vAlign w:val="center"/>
          </w:tcPr>
          <w:p w14:paraId="0ED15F38">
            <w:pPr>
              <w:spacing w:after="0" w:line="240" w:lineRule="auto"/>
              <w:jc w:val="left"/>
            </w:pPr>
            <w:r>
              <w:rPr>
                <w:b w:val="0"/>
                <w:sz w:val="13"/>
              </w:rPr>
              <w:t>6</w:t>
            </w:r>
          </w:p>
        </w:tc>
        <w:tc>
          <w:tcPr>
            <w:tcW w:w="1584" w:type="dxa"/>
            <w:vAlign w:val="center"/>
          </w:tcPr>
          <w:p w14:paraId="183F4F66">
            <w:pPr>
              <w:spacing w:after="0" w:line="240" w:lineRule="auto"/>
              <w:jc w:val="left"/>
            </w:pPr>
            <w:r>
              <w:rPr>
                <w:b w:val="0"/>
                <w:sz w:val="13"/>
              </w:rPr>
              <w:t>Input Points Matrix</w:t>
            </w:r>
          </w:p>
        </w:tc>
        <w:tc>
          <w:tcPr>
            <w:tcW w:w="1584" w:type="dxa"/>
            <w:vAlign w:val="center"/>
          </w:tcPr>
          <w:p w14:paraId="3170D8A0">
            <w:pPr>
              <w:spacing w:after="0" w:line="240" w:lineRule="auto"/>
              <w:jc w:val="left"/>
            </w:pPr>
            <w:r>
              <w:rPr>
                <w:b w:val="0"/>
                <w:sz w:val="13"/>
              </w:rPr>
              <w:t>目标是 tenor-by-row 矩阵：Expected、Available、Yield、Source、Age。</w:t>
            </w:r>
          </w:p>
        </w:tc>
        <w:tc>
          <w:tcPr>
            <w:tcW w:w="1584" w:type="dxa"/>
            <w:vAlign w:val="center"/>
          </w:tcPr>
          <w:p w14:paraId="3D9ED78C">
            <w:pPr>
              <w:spacing w:after="0" w:line="240" w:lineRule="auto"/>
              <w:jc w:val="left"/>
            </w:pPr>
            <w:r>
              <w:rPr>
                <w:b w:val="0"/>
                <w:sz w:val="13"/>
              </w:rPr>
              <w:t>当前是 Input Points DT 明细表，分页显示 raw numeric tenor/rate。</w:t>
            </w:r>
          </w:p>
        </w:tc>
        <w:tc>
          <w:tcPr>
            <w:tcW w:w="1584" w:type="dxa"/>
            <w:vAlign w:val="center"/>
          </w:tcPr>
          <w:p w14:paraId="60BC57A4">
            <w:pPr>
              <w:spacing w:after="0" w:line="240" w:lineRule="auto"/>
              <w:jc w:val="left"/>
            </w:pPr>
            <w:r>
              <w:rPr>
                <w:b w:val="0"/>
                <w:sz w:val="13"/>
              </w:rPr>
              <w:t>output$input_points DT。</w:t>
            </w:r>
          </w:p>
        </w:tc>
        <w:tc>
          <w:tcPr>
            <w:tcW w:w="1584" w:type="dxa"/>
            <w:vAlign w:val="center"/>
          </w:tcPr>
          <w:p w14:paraId="17992E3C">
            <w:pPr>
              <w:spacing w:after="0" w:line="240" w:lineRule="auto"/>
              <w:jc w:val="left"/>
            </w:pPr>
            <w:r>
              <w:rPr>
                <w:b w:val="0"/>
                <w:sz w:val="13"/>
              </w:rPr>
              <w:t>大差距。</w:t>
            </w:r>
          </w:p>
        </w:tc>
        <w:tc>
          <w:tcPr>
            <w:tcW w:w="1584" w:type="dxa"/>
            <w:vAlign w:val="center"/>
          </w:tcPr>
          <w:p w14:paraId="1FD6A04D">
            <w:pPr>
              <w:spacing w:after="0" w:line="240" w:lineRule="auto"/>
              <w:jc w:val="left"/>
            </w:pPr>
            <w:r>
              <w:rPr>
                <w:b w:val="0"/>
                <w:sz w:val="13"/>
              </w:rPr>
              <w:t>将明细改为矩阵视觉；tenor 使用 1M/3M/…/30Y 标签；missing 显示红色 X。</w:t>
            </w:r>
          </w:p>
        </w:tc>
        <w:tc>
          <w:tcPr>
            <w:tcW w:w="1584" w:type="dxa"/>
            <w:vAlign w:val="center"/>
          </w:tcPr>
          <w:p w14:paraId="290EBC38">
            <w:pPr>
              <w:spacing w:after="0" w:line="240" w:lineRule="auto"/>
              <w:jc w:val="left"/>
            </w:pPr>
            <w:r>
              <w:rPr>
                <w:b w:val="0"/>
                <w:sz w:val="13"/>
              </w:rPr>
              <w:t>中：source/age 当前未必真实支持。</w:t>
            </w:r>
          </w:p>
        </w:tc>
        <w:tc>
          <w:tcPr>
            <w:tcW w:w="1584" w:type="dxa"/>
            <w:vAlign w:val="center"/>
          </w:tcPr>
          <w:p w14:paraId="791DCA29">
            <w:pPr>
              <w:spacing w:after="0" w:line="240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b w:val="0"/>
                <w:sz w:val="13"/>
              </w:rPr>
              <w:t>Source/Age 不支持时显示 B/NA 或 Local RDS。</w:t>
            </w:r>
            <w:r>
              <w:rPr>
                <w:rFonts w:hint="eastAsia"/>
                <w:b w:val="0"/>
                <w:sz w:val="13"/>
                <w:lang w:val="en-US" w:eastAsia="zh-CN"/>
              </w:rPr>
              <w:t>可以，按照推荐走</w:t>
            </w:r>
          </w:p>
        </w:tc>
      </w:tr>
      <w:tr w14:paraId="25C0C6EB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vAlign w:val="center"/>
          </w:tcPr>
          <w:p w14:paraId="59850DE0">
            <w:pPr>
              <w:spacing w:after="0" w:line="240" w:lineRule="auto"/>
              <w:jc w:val="left"/>
            </w:pPr>
            <w:r>
              <w:rPr>
                <w:b w:val="0"/>
                <w:sz w:val="13"/>
              </w:rPr>
              <w:t>7</w:t>
            </w:r>
          </w:p>
        </w:tc>
        <w:tc>
          <w:tcPr>
            <w:tcW w:w="1584" w:type="dxa"/>
            <w:vAlign w:val="center"/>
          </w:tcPr>
          <w:p w14:paraId="6A9E0689">
            <w:pPr>
              <w:spacing w:after="0" w:line="240" w:lineRule="auto"/>
              <w:jc w:val="left"/>
            </w:pPr>
            <w:r>
              <w:rPr>
                <w:b w:val="0"/>
                <w:sz w:val="13"/>
              </w:rPr>
              <w:t>About Diagnostics</w:t>
            </w:r>
          </w:p>
        </w:tc>
        <w:tc>
          <w:tcPr>
            <w:tcW w:w="1584" w:type="dxa"/>
            <w:vAlign w:val="center"/>
          </w:tcPr>
          <w:p w14:paraId="1D55727B">
            <w:pPr>
              <w:spacing w:after="0" w:line="240" w:lineRule="auto"/>
              <w:jc w:val="left"/>
            </w:pPr>
            <w:r>
              <w:rPr>
                <w:b w:val="0"/>
                <w:sz w:val="13"/>
              </w:rPr>
              <w:t>目标右下说明卡解释不触发重算、检查项、跳转 Policy。</w:t>
            </w:r>
          </w:p>
        </w:tc>
        <w:tc>
          <w:tcPr>
            <w:tcW w:w="1584" w:type="dxa"/>
            <w:vAlign w:val="center"/>
          </w:tcPr>
          <w:p w14:paraId="45DDC4C8">
            <w:pPr>
              <w:spacing w:after="0" w:line="240" w:lineRule="auto"/>
              <w:jc w:val="left"/>
            </w:pPr>
            <w:r>
              <w:rPr>
                <w:b w:val="0"/>
                <w:sz w:val="13"/>
              </w:rPr>
              <w:t>当前只有左侧 explanation card。</w:t>
            </w:r>
          </w:p>
        </w:tc>
        <w:tc>
          <w:tcPr>
            <w:tcW w:w="1584" w:type="dxa"/>
            <w:vAlign w:val="center"/>
          </w:tcPr>
          <w:p w14:paraId="3AF9CCF7">
            <w:pPr>
              <w:spacing w:after="0" w:line="240" w:lineRule="auto"/>
              <w:jc w:val="left"/>
            </w:pPr>
            <w:r>
              <w:rPr>
                <w:b w:val="0"/>
                <w:sz w:val="13"/>
              </w:rPr>
              <w:t>diagnostics_explanation 简短文本。</w:t>
            </w:r>
          </w:p>
        </w:tc>
        <w:tc>
          <w:tcPr>
            <w:tcW w:w="1584" w:type="dxa"/>
            <w:vAlign w:val="center"/>
          </w:tcPr>
          <w:p w14:paraId="5CB24631">
            <w:pPr>
              <w:spacing w:after="0" w:line="240" w:lineRule="auto"/>
              <w:jc w:val="left"/>
            </w:pPr>
            <w:r>
              <w:rPr>
                <w:b w:val="0"/>
                <w:sz w:val="13"/>
              </w:rPr>
              <w:t>中到大差距。</w:t>
            </w:r>
          </w:p>
        </w:tc>
        <w:tc>
          <w:tcPr>
            <w:tcW w:w="1584" w:type="dxa"/>
            <w:vAlign w:val="center"/>
          </w:tcPr>
          <w:p w14:paraId="03A42D60">
            <w:pPr>
              <w:spacing w:after="0" w:line="240" w:lineRule="auto"/>
              <w:jc w:val="left"/>
            </w:pPr>
            <w:r>
              <w:rPr>
                <w:b w:val="0"/>
                <w:sz w:val="13"/>
              </w:rPr>
              <w:t>新增 About card，保留“不触发重算”原则，说明检查项；跳转可做 disabled/unavailable。</w:t>
            </w:r>
          </w:p>
        </w:tc>
        <w:tc>
          <w:tcPr>
            <w:tcW w:w="1584" w:type="dxa"/>
            <w:vAlign w:val="center"/>
          </w:tcPr>
          <w:p w14:paraId="78040CD7">
            <w:pPr>
              <w:spacing w:after="0" w:line="240" w:lineRule="auto"/>
              <w:jc w:val="left"/>
            </w:pPr>
            <w:r>
              <w:rPr>
                <w:b w:val="0"/>
                <w:sz w:val="13"/>
              </w:rPr>
              <w:t>低。</w:t>
            </w:r>
          </w:p>
        </w:tc>
        <w:tc>
          <w:tcPr>
            <w:tcW w:w="1584" w:type="dxa"/>
            <w:vAlign w:val="center"/>
          </w:tcPr>
          <w:p w14:paraId="7D328C39">
            <w:pPr>
              <w:spacing w:after="0" w:line="240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b w:val="0"/>
                <w:sz w:val="13"/>
              </w:rPr>
              <w:t>确认是否需要 Policy Panel 链接。</w:t>
            </w:r>
            <w:r>
              <w:rPr>
                <w:rFonts w:hint="eastAsia"/>
                <w:b w:val="0"/>
                <w:sz w:val="13"/>
                <w:lang w:val="en-US" w:eastAsia="zh-CN"/>
              </w:rPr>
              <w:t>不需要连接，只需要文字说明就可以。</w:t>
            </w:r>
          </w:p>
        </w:tc>
      </w:tr>
      <w:tr w14:paraId="79E714AC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vAlign w:val="center"/>
          </w:tcPr>
          <w:p w14:paraId="20FA63A6">
            <w:pPr>
              <w:spacing w:after="0" w:line="240" w:lineRule="auto"/>
              <w:jc w:val="left"/>
            </w:pPr>
            <w:r>
              <w:rPr>
                <w:b w:val="0"/>
                <w:sz w:val="13"/>
              </w:rPr>
              <w:t>8</w:t>
            </w:r>
          </w:p>
        </w:tc>
        <w:tc>
          <w:tcPr>
            <w:tcW w:w="1584" w:type="dxa"/>
            <w:vAlign w:val="center"/>
          </w:tcPr>
          <w:p w14:paraId="3B2C6332">
            <w:pPr>
              <w:spacing w:after="0" w:line="240" w:lineRule="auto"/>
              <w:jc w:val="left"/>
            </w:pPr>
            <w:r>
              <w:rPr>
                <w:b w:val="0"/>
                <w:sz w:val="13"/>
              </w:rPr>
              <w:t>Unavailable Metadata</w:t>
            </w:r>
          </w:p>
        </w:tc>
        <w:tc>
          <w:tcPr>
            <w:tcW w:w="1584" w:type="dxa"/>
            <w:vAlign w:val="center"/>
          </w:tcPr>
          <w:p w14:paraId="20AF79D5">
            <w:pPr>
              <w:spacing w:after="0" w:line="240" w:lineRule="auto"/>
              <w:jc w:val="left"/>
            </w:pPr>
            <w:r>
              <w:rPr>
                <w:b w:val="0"/>
                <w:sz w:val="13"/>
              </w:rPr>
              <w:t>目标不突出 unavailable，占位内容被 policy 和说明吸收。</w:t>
            </w:r>
          </w:p>
        </w:tc>
        <w:tc>
          <w:tcPr>
            <w:tcW w:w="1584" w:type="dxa"/>
            <w:vAlign w:val="center"/>
          </w:tcPr>
          <w:p w14:paraId="797E6927">
            <w:pPr>
              <w:spacing w:after="0" w:line="240" w:lineRule="auto"/>
              <w:jc w:val="left"/>
            </w:pPr>
            <w:r>
              <w:rPr>
                <w:b w:val="0"/>
                <w:sz w:val="13"/>
              </w:rPr>
              <w:t>当前底部两个大 placeholder 占明显空间。</w:t>
            </w:r>
          </w:p>
        </w:tc>
        <w:tc>
          <w:tcPr>
            <w:tcW w:w="1584" w:type="dxa"/>
            <w:vAlign w:val="center"/>
          </w:tcPr>
          <w:p w14:paraId="4647B5EC">
            <w:pPr>
              <w:spacing w:after="0" w:line="240" w:lineRule="auto"/>
              <w:jc w:val="left"/>
            </w:pPr>
            <w:r>
              <w:rPr>
                <w:b w:val="0"/>
                <w:sz w:val="13"/>
              </w:rPr>
              <w:t>unavailable_card 两个。</w:t>
            </w:r>
          </w:p>
        </w:tc>
        <w:tc>
          <w:tcPr>
            <w:tcW w:w="1584" w:type="dxa"/>
            <w:vAlign w:val="center"/>
          </w:tcPr>
          <w:p w14:paraId="6A8CA2B1">
            <w:pPr>
              <w:spacing w:after="0" w:line="240" w:lineRule="auto"/>
              <w:jc w:val="left"/>
            </w:pPr>
            <w:r>
              <w:rPr>
                <w:b w:val="0"/>
                <w:sz w:val="13"/>
              </w:rPr>
              <w:t>中等差距。</w:t>
            </w:r>
          </w:p>
        </w:tc>
        <w:tc>
          <w:tcPr>
            <w:tcW w:w="1584" w:type="dxa"/>
            <w:vAlign w:val="center"/>
          </w:tcPr>
          <w:p w14:paraId="48853753">
            <w:pPr>
              <w:spacing w:after="0" w:line="240" w:lineRule="auto"/>
              <w:jc w:val="left"/>
            </w:pPr>
            <w:r>
              <w:rPr>
                <w:b w:val="0"/>
                <w:sz w:val="13"/>
              </w:rPr>
              <w:t>保留数据真实性，但降级到 summary/About 中的 NA/Unavailable 行，不再占主视觉。</w:t>
            </w:r>
          </w:p>
        </w:tc>
        <w:tc>
          <w:tcPr>
            <w:tcW w:w="1584" w:type="dxa"/>
            <w:vAlign w:val="center"/>
          </w:tcPr>
          <w:p w14:paraId="659A154C">
            <w:pPr>
              <w:spacing w:after="0" w:line="240" w:lineRule="auto"/>
              <w:jc w:val="left"/>
            </w:pPr>
            <w:r>
              <w:rPr>
                <w:b w:val="0"/>
                <w:sz w:val="13"/>
              </w:rPr>
              <w:t>低。</w:t>
            </w:r>
          </w:p>
        </w:tc>
        <w:tc>
          <w:tcPr>
            <w:tcW w:w="1584" w:type="dxa"/>
            <w:vAlign w:val="center"/>
          </w:tcPr>
          <w:p w14:paraId="51B85083">
            <w:pPr>
              <w:spacing w:after="0" w:line="240" w:lineRule="auto"/>
              <w:jc w:val="left"/>
            </w:pPr>
            <w:r>
              <w:rPr>
                <w:b w:val="0"/>
                <w:sz w:val="13"/>
              </w:rPr>
              <w:t>确认是否保留现金流引擎占位。</w:t>
            </w:r>
          </w:p>
        </w:tc>
      </w:tr>
      <w:tr w14:paraId="0C91B339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vAlign w:val="center"/>
          </w:tcPr>
          <w:p w14:paraId="24414F55">
            <w:pPr>
              <w:spacing w:after="0" w:line="240" w:lineRule="auto"/>
              <w:jc w:val="left"/>
            </w:pPr>
            <w:r>
              <w:rPr>
                <w:b w:val="0"/>
                <w:sz w:val="13"/>
              </w:rPr>
              <w:t>9</w:t>
            </w:r>
          </w:p>
        </w:tc>
        <w:tc>
          <w:tcPr>
            <w:tcW w:w="1584" w:type="dxa"/>
            <w:vAlign w:val="center"/>
          </w:tcPr>
          <w:p w14:paraId="58E8BE4A">
            <w:pPr>
              <w:spacing w:after="0" w:line="240" w:lineRule="auto"/>
              <w:jc w:val="left"/>
            </w:pPr>
            <w:r>
              <w:rPr>
                <w:b w:val="0"/>
                <w:sz w:val="13"/>
              </w:rPr>
              <w:t>视觉密度</w:t>
            </w:r>
          </w:p>
        </w:tc>
        <w:tc>
          <w:tcPr>
            <w:tcW w:w="1584" w:type="dxa"/>
            <w:vAlign w:val="center"/>
          </w:tcPr>
          <w:p w14:paraId="39343ADB">
            <w:pPr>
              <w:spacing w:after="0" w:line="240" w:lineRule="auto"/>
              <w:jc w:val="left"/>
            </w:pPr>
            <w:r>
              <w:rPr>
                <w:b w:val="0"/>
                <w:sz w:val="13"/>
              </w:rPr>
              <w:t>目标一屏信息密集，卡片圆角小、边框浅、表格紧凑。</w:t>
            </w:r>
          </w:p>
        </w:tc>
        <w:tc>
          <w:tcPr>
            <w:tcW w:w="1584" w:type="dxa"/>
            <w:vAlign w:val="center"/>
          </w:tcPr>
          <w:p w14:paraId="4D8F8E7A">
            <w:pPr>
              <w:spacing w:after="0" w:line="240" w:lineRule="auto"/>
              <w:jc w:val="left"/>
            </w:pPr>
            <w:r>
              <w:rPr>
                <w:b w:val="0"/>
                <w:sz w:val="13"/>
              </w:rPr>
              <w:t>当前留白大，DT 表格占高度，信息关系弱。</w:t>
            </w:r>
          </w:p>
        </w:tc>
        <w:tc>
          <w:tcPr>
            <w:tcW w:w="1584" w:type="dxa"/>
            <w:vAlign w:val="center"/>
          </w:tcPr>
          <w:p w14:paraId="125E91C9">
            <w:pPr>
              <w:spacing w:after="0" w:line="240" w:lineRule="auto"/>
              <w:jc w:val="left"/>
            </w:pPr>
            <w:r>
              <w:rPr>
                <w:b w:val="0"/>
                <w:sz w:val="13"/>
              </w:rPr>
              <w:t>通用 CSS，Diagnostics 无专属 class。</w:t>
            </w:r>
          </w:p>
        </w:tc>
        <w:tc>
          <w:tcPr>
            <w:tcW w:w="1584" w:type="dxa"/>
            <w:vAlign w:val="center"/>
          </w:tcPr>
          <w:p w14:paraId="40C9BDDB">
            <w:pPr>
              <w:spacing w:after="0" w:line="240" w:lineRule="auto"/>
              <w:jc w:val="left"/>
            </w:pPr>
            <w:r>
              <w:rPr>
                <w:b w:val="0"/>
                <w:sz w:val="13"/>
              </w:rPr>
              <w:t>大差距。</w:t>
            </w:r>
          </w:p>
        </w:tc>
        <w:tc>
          <w:tcPr>
            <w:tcW w:w="1584" w:type="dxa"/>
            <w:vAlign w:val="center"/>
          </w:tcPr>
          <w:p w14:paraId="77715A58">
            <w:pPr>
              <w:spacing w:after="0" w:line="240" w:lineRule="auto"/>
              <w:jc w:val="left"/>
            </w:pPr>
            <w:r>
              <w:rPr>
                <w:b w:val="0"/>
                <w:sz w:val="13"/>
              </w:rPr>
              <w:t>添加 diagnostics-page 专属 class 与 CSS，避免误伤其他 tabs。</w:t>
            </w:r>
          </w:p>
        </w:tc>
        <w:tc>
          <w:tcPr>
            <w:tcW w:w="1584" w:type="dxa"/>
            <w:vAlign w:val="center"/>
          </w:tcPr>
          <w:p w14:paraId="2A3D9794">
            <w:pPr>
              <w:spacing w:after="0" w:line="240" w:lineRule="auto"/>
              <w:jc w:val="left"/>
            </w:pPr>
            <w:r>
              <w:rPr>
                <w:b w:val="0"/>
                <w:sz w:val="13"/>
              </w:rPr>
              <w:t>中：需多视口截图验收。</w:t>
            </w:r>
          </w:p>
        </w:tc>
        <w:tc>
          <w:tcPr>
            <w:tcW w:w="1584" w:type="dxa"/>
            <w:vAlign w:val="center"/>
          </w:tcPr>
          <w:p w14:paraId="12BC8092">
            <w:pPr>
              <w:spacing w:after="0" w:line="240" w:lineRule="auto"/>
              <w:jc w:val="left"/>
            </w:pPr>
            <w:r>
              <w:rPr>
                <w:b w:val="0"/>
                <w:sz w:val="13"/>
              </w:rPr>
              <w:t>默认按目标 1490px 宽度优化。</w:t>
            </w:r>
          </w:p>
        </w:tc>
      </w:tr>
      <w:tr w14:paraId="6BD8F291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vAlign w:val="center"/>
          </w:tcPr>
          <w:p w14:paraId="3BF087FE">
            <w:pPr>
              <w:spacing w:after="0" w:line="240" w:lineRule="auto"/>
              <w:jc w:val="left"/>
            </w:pPr>
            <w:r>
              <w:rPr>
                <w:b w:val="0"/>
                <w:sz w:val="13"/>
              </w:rPr>
              <w:t>10</w:t>
            </w:r>
          </w:p>
        </w:tc>
        <w:tc>
          <w:tcPr>
            <w:tcW w:w="1584" w:type="dxa"/>
            <w:vAlign w:val="center"/>
          </w:tcPr>
          <w:p w14:paraId="1B39C917">
            <w:pPr>
              <w:spacing w:after="0" w:line="240" w:lineRule="auto"/>
              <w:jc w:val="left"/>
            </w:pPr>
            <w:r>
              <w:rPr>
                <w:b w:val="0"/>
                <w:sz w:val="13"/>
              </w:rPr>
              <w:t>数据真实性</w:t>
            </w:r>
          </w:p>
        </w:tc>
        <w:tc>
          <w:tcPr>
            <w:tcW w:w="1584" w:type="dxa"/>
            <w:vAlign w:val="center"/>
          </w:tcPr>
          <w:p w14:paraId="1ADD7C9D">
            <w:pPr>
              <w:spacing w:after="0" w:line="240" w:lineRule="auto"/>
              <w:jc w:val="left"/>
            </w:pPr>
            <w:r>
              <w:rPr>
                <w:b w:val="0"/>
                <w:sz w:val="13"/>
              </w:rPr>
              <w:t>目标含 Bloomberg/Live/Refinitiv 等生产字段。</w:t>
            </w:r>
          </w:p>
        </w:tc>
        <w:tc>
          <w:tcPr>
            <w:tcW w:w="1584" w:type="dxa"/>
            <w:vAlign w:val="center"/>
          </w:tcPr>
          <w:p w14:paraId="7EF63CF8">
            <w:pPr>
              <w:spacing w:after="0" w:line="240" w:lineRule="auto"/>
              <w:jc w:val="left"/>
            </w:pPr>
            <w:r>
              <w:rPr>
                <w:b w:val="0"/>
                <w:sz w:val="13"/>
              </w:rPr>
              <w:t>当前真实口径是 Local RDS / fitted proxy。</w:t>
            </w:r>
          </w:p>
        </w:tc>
        <w:tc>
          <w:tcPr>
            <w:tcW w:w="1584" w:type="dxa"/>
            <w:vAlign w:val="center"/>
          </w:tcPr>
          <w:p w14:paraId="4B387285">
            <w:pPr>
              <w:spacing w:after="0" w:line="240" w:lineRule="auto"/>
              <w:jc w:val="left"/>
            </w:pPr>
            <w:r>
              <w:rPr>
                <w:b w:val="0"/>
                <w:sz w:val="13"/>
              </w:rPr>
              <w:t>data_loader + applied_curve。</w:t>
            </w:r>
          </w:p>
        </w:tc>
        <w:tc>
          <w:tcPr>
            <w:tcW w:w="1584" w:type="dxa"/>
            <w:vAlign w:val="center"/>
          </w:tcPr>
          <w:p w14:paraId="1FA8C253">
            <w:pPr>
              <w:spacing w:after="0" w:line="240" w:lineRule="auto"/>
              <w:jc w:val="left"/>
            </w:pPr>
            <w:r>
              <w:rPr>
                <w:b w:val="0"/>
                <w:sz w:val="13"/>
              </w:rPr>
              <w:t>需要谨慎。</w:t>
            </w:r>
          </w:p>
        </w:tc>
        <w:tc>
          <w:tcPr>
            <w:tcW w:w="1584" w:type="dxa"/>
            <w:vAlign w:val="center"/>
          </w:tcPr>
          <w:p w14:paraId="221D6B6C">
            <w:pPr>
              <w:spacing w:after="0" w:line="240" w:lineRule="auto"/>
              <w:jc w:val="left"/>
            </w:pPr>
            <w:r>
              <w:rPr>
                <w:b w:val="0"/>
                <w:sz w:val="13"/>
              </w:rPr>
              <w:t>不伪造 live Bloomberg；显示 Local RDS、NA、Unavailable；支持的字段从 applied_curve 派生。</w:t>
            </w:r>
          </w:p>
        </w:tc>
        <w:tc>
          <w:tcPr>
            <w:tcW w:w="1584" w:type="dxa"/>
            <w:vAlign w:val="center"/>
          </w:tcPr>
          <w:p w14:paraId="69251EFD">
            <w:pPr>
              <w:spacing w:after="0" w:line="240" w:lineRule="auto"/>
              <w:jc w:val="left"/>
            </w:pPr>
            <w:r>
              <w:rPr>
                <w:b w:val="0"/>
                <w:sz w:val="13"/>
              </w:rPr>
              <w:t>低：原则清楚。</w:t>
            </w:r>
          </w:p>
        </w:tc>
        <w:tc>
          <w:tcPr>
            <w:tcW w:w="1584" w:type="dxa"/>
            <w:vAlign w:val="center"/>
          </w:tcPr>
          <w:p w14:paraId="443DA19D">
            <w:pPr>
              <w:spacing w:after="0" w:line="240" w:lineRule="auto"/>
              <w:jc w:val="left"/>
              <w:rPr>
                <w:rFonts w:hint="eastAsia" w:eastAsia="微软雅黑"/>
                <w:lang w:val="en-US" w:eastAsia="zh-CN"/>
              </w:rPr>
            </w:pPr>
            <w:r>
              <w:rPr>
                <w:b w:val="0"/>
                <w:sz w:val="13"/>
              </w:rPr>
              <w:t>确认文案是否接受 Local RDS。</w:t>
            </w:r>
            <w:r>
              <w:rPr>
                <w:rFonts w:hint="eastAsia"/>
                <w:b w:val="0"/>
                <w:sz w:val="13"/>
                <w:lang w:val="en-US" w:eastAsia="zh-CN"/>
              </w:rPr>
              <w:t>接受</w:t>
            </w:r>
          </w:p>
        </w:tc>
      </w:tr>
    </w:tbl>
    <w:p w14:paraId="277F90D8">
      <w:pPr>
        <w:pStyle w:val="3"/>
      </w:pPr>
      <w:r>
        <w:t>5. 下一步推荐</w:t>
      </w:r>
    </w:p>
    <w:p w14:paraId="62355605">
      <w:pPr>
        <w:pStyle w:val="16"/>
        <w:spacing w:after="40"/>
      </w:pPr>
      <w:r>
        <w:t>第一步先改 Diagnostics 信息架构，不碰计算核心：新增 diagnostics-page 专属布局、sidebar policy rail、顶部 5 KPI 和 About card。</w:t>
      </w:r>
    </w:p>
    <w:p w14:paraId="749025A6">
      <w:pPr>
        <w:pStyle w:val="16"/>
        <w:spacing w:after="40"/>
      </w:pPr>
      <w:r>
        <w:t>第二步新增 summary 派生表：从 applied_curve、curve_fit()$diagnostics 和 input/source metadata 生成字段/值/单位/来源/状态。</w:t>
      </w:r>
    </w:p>
    <w:p w14:paraId="23C93D98">
      <w:pPr>
        <w:pStyle w:val="16"/>
        <w:spacing w:after="40"/>
      </w:pPr>
      <w:r>
        <w:t>第三步新增 residual Plotly 图：使用现有 residual_bp，加入 warn/fail 阈值线；图例放上方或下方，避免 modebar 重叠。</w:t>
      </w:r>
    </w:p>
    <w:p w14:paraId="68709ADA">
      <w:pPr>
        <w:pStyle w:val="16"/>
        <w:spacing w:after="40"/>
      </w:pPr>
      <w:r>
        <w:t>第四步把 Input Points 改为 missing-tenor matrix：目标 tenors 固定为 1M、3M、6M、1Y、2Y、3Y、5Y、7Y、10Y、15Y、20Y、30Y。</w:t>
      </w:r>
    </w:p>
    <w:p w14:paraId="3DFD8D2E">
      <w:pPr>
        <w:pStyle w:val="16"/>
        <w:spacing w:after="40"/>
      </w:pPr>
      <w:r>
        <w:t>第五步处理数据真实性：Bloomberg live、Refinitiv、age seconds、policy panel link 等当前无真实数据时显示 Local RDS / NA / Unavailable。</w:t>
      </w:r>
    </w:p>
    <w:p w14:paraId="3E7B6BEE">
      <w:pPr>
        <w:pStyle w:val="16"/>
        <w:spacing w:after="40"/>
      </w:pPr>
      <w:r>
        <w:t>第六步验收：run_tests.R、HTTP smoke、Diagnostics 截图；如果 browser 自动化失败，文档或验收记录中明确写明。</w:t>
      </w:r>
    </w:p>
    <w:p w14:paraId="273153B1">
      <w:pPr>
        <w:pStyle w:val="3"/>
      </w:pPr>
      <w:r>
        <w:t>6. 建议的实现顺序</w:t>
      </w:r>
    </w:p>
    <w:p w14:paraId="29A2B240">
      <w:pPr>
        <w:pStyle w:val="16"/>
        <w:spacing w:after="40"/>
      </w:pPr>
      <w:r>
        <w:t>新增 diagnostics helpers：状态图标、KPI 卡、summary row、tenor matrix formatter。</w:t>
      </w:r>
    </w:p>
    <w:p w14:paraId="6C8C4809">
      <w:pPr>
        <w:pStyle w:val="16"/>
        <w:spacing w:after="40"/>
      </w:pPr>
      <w:r>
        <w:t>重排 Diagnostics tab UI：sidebar + KPI strip + summary/chart + matrix/about。</w:t>
      </w:r>
    </w:p>
    <w:p w14:paraId="24817B0A">
      <w:pPr>
        <w:pStyle w:val="16"/>
        <w:spacing w:after="40"/>
      </w:pPr>
      <w:r>
        <w:t>新增 residual chart output；保留旧 diagnostics_table/input_points 到隐藏 legacy 或逐步替换。</w:t>
      </w:r>
    </w:p>
    <w:p w14:paraId="5796B24E">
      <w:pPr>
        <w:pStyle w:val="16"/>
        <w:spacing w:after="40"/>
      </w:pPr>
      <w:r>
        <w:t>新增 diagnostics 专属 CSS，限定在 .diagnostics-page，避免影响 Carry &amp; Roll、Curve Explorer。</w:t>
      </w:r>
    </w:p>
    <w:p w14:paraId="3C281DB7">
      <w:pPr>
        <w:pStyle w:val="16"/>
        <w:spacing w:after="40"/>
      </w:pPr>
      <w:r>
        <w:t>更新 tests/run_tests.R：覆盖 summary、residual plot、matrix 输出和 applied-result 不重算原则。</w:t>
      </w:r>
    </w:p>
    <w:p w14:paraId="7E94E9A8">
      <w:pPr>
        <w:pStyle w:val="3"/>
      </w:pPr>
      <w:r>
        <w:t>7. 明确假设</w:t>
      </w:r>
    </w:p>
    <w:p w14:paraId="58C1A5D1">
      <w:pPr>
        <w:pStyle w:val="16"/>
        <w:spacing w:after="40"/>
      </w:pPr>
      <w:r>
        <w:t>目标图是 Diagnostics 的唯一视觉准绳，但数据真实性高于视觉填充。</w:t>
      </w:r>
    </w:p>
    <w:p w14:paraId="3E37CFE8">
      <w:pPr>
        <w:pStyle w:val="16"/>
        <w:spacing w:after="40"/>
      </w:pPr>
      <w:r>
        <w:t>Diagnostics 不触发重新计算，只读取最近一次 Curve Explorer Apply 结果。</w:t>
      </w:r>
    </w:p>
    <w:p w14:paraId="0CE70E43">
      <w:pPr>
        <w:pStyle w:val="16"/>
        <w:spacing w:after="40"/>
      </w:pPr>
      <w:r>
        <w:t>当前不能真实支持 Live Bloomberg、Refinitiv、精确 quote age、Policy Panel 跳转时，显示 Local RDS、NA 或 Unavailable。</w:t>
      </w:r>
    </w:p>
    <w:p w14:paraId="085B2FA0">
      <w:pPr>
        <w:pStyle w:val="16"/>
        <w:spacing w:after="40"/>
      </w:pPr>
      <w:r>
        <w:t>先交付 Word 对比稿和下一步建议，不直接改 Diagnostics 代码。</w:t>
      </w:r>
      <w:bookmarkStart w:id="0" w:name="_GoBack"/>
      <w:bookmarkEnd w:id="0"/>
    </w:p>
    <w:sectPr>
      <w:pgSz w:w="15840" w:h="12240" w:orient="landscape"/>
      <w:pgMar w:top="792" w:right="792" w:bottom="792" w:left="79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5304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59" w:lineRule="auto"/>
    </w:pPr>
    <w:rPr>
      <w:rFonts w:ascii="Calibri" w:hAnsi="Calibri" w:eastAsia="微软雅黑" w:cstheme="minorBidi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80" w:line="259" w:lineRule="auto"/>
      <w:outlineLvl w:val="0"/>
    </w:pPr>
    <w:rPr>
      <w:rFonts w:asciiTheme="majorHAnsi" w:hAnsiTheme="majorHAnsi" w:eastAsiaTheme="majorEastAsia" w:cstheme="majorBidi"/>
      <w:b/>
      <w:bCs/>
      <w:color w:val="2E74B5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80" w:line="259" w:lineRule="auto"/>
      <w:outlineLvl w:val="1"/>
    </w:pPr>
    <w:rPr>
      <w:rFonts w:asciiTheme="majorHAnsi" w:hAnsiTheme="majorHAnsi" w:eastAsiaTheme="majorEastAsia" w:cstheme="majorBidi"/>
      <w:b/>
      <w:bCs/>
      <w:color w:val="1F4D78"/>
      <w:sz w:val="2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80" w:line="259" w:lineRule="auto"/>
      <w:outlineLvl w:val="2"/>
    </w:pPr>
    <w:rPr>
      <w:rFonts w:asciiTheme="majorHAnsi" w:hAnsiTheme="majorHAnsi" w:eastAsiaTheme="majorEastAsia" w:cstheme="majorBidi"/>
      <w:b/>
      <w:bCs/>
      <w:color w:val="1F4D78"/>
      <w:sz w:val="20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eastAsia="微软雅黑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0B2545"/>
      <w:spacing w:val="5"/>
      <w:kern w:val="28"/>
      <w:sz w:val="4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1917</Words>
  <Characters>4667</Characters>
  <Lines>0</Lines>
  <Paragraphs>0</Paragraphs>
  <TotalTime>15</TotalTime>
  <ScaleCrop>false</ScaleCrop>
  <LinksUpToDate>false</LinksUpToDate>
  <CharactersWithSpaces>5139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Aweis</cp:lastModifiedBy>
  <dcterms:modified xsi:type="dcterms:W3CDTF">2026-06-20T15:49:44Z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eyJoZGlkIjoiMzI1MTYxYTUxMjgxZTRiOWE0ZTJmNDRkZjUwZDNkYzUiLCJ1c2VySWQiOiIxODE0NDYxMTI4In0=</vt:lpwstr>
  </property>
  <property fmtid="{D5CDD505-2E9C-101B-9397-08002B2CF9AE}" pid="3" name="KSOProductBuildVer">
    <vt:lpwstr>2052-12.1.0.26895</vt:lpwstr>
  </property>
  <property fmtid="{D5CDD505-2E9C-101B-9397-08002B2CF9AE}" pid="4" name="ICV">
    <vt:lpwstr>10573DF7283646E2B451C0BFAA112B25_12</vt:lpwstr>
  </property>
</Properties>
</file>